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A3BD" w14:textId="1B1F83A9" w:rsidR="00EB12AA" w:rsidRDefault="007110D8">
      <w:r>
        <w:tab/>
      </w:r>
      <w:r>
        <w:tab/>
      </w:r>
      <w:r>
        <w:tab/>
      </w:r>
      <w:r>
        <w:tab/>
      </w:r>
      <w:r>
        <w:tab/>
      </w:r>
      <w:r>
        <w:tab/>
      </w:r>
      <w:r>
        <w:tab/>
      </w:r>
      <w:r>
        <w:tab/>
      </w:r>
      <w:r>
        <w:tab/>
      </w:r>
      <w:r>
        <w:tab/>
        <w:t>No. 21 –</w:t>
      </w:r>
      <w:bookmarkStart w:id="0" w:name="_GoBack"/>
      <w:bookmarkEnd w:id="0"/>
    </w:p>
    <w:p w14:paraId="6CF82CB9" w14:textId="230A9DCC" w:rsidR="007110D8" w:rsidRDefault="007110D8"/>
    <w:p w14:paraId="695465D0" w14:textId="13F655AF" w:rsidR="007110D8" w:rsidRDefault="007110D8" w:rsidP="007110D8">
      <w:pPr>
        <w:jc w:val="center"/>
        <w:rPr>
          <w:b/>
          <w:bCs/>
          <w:u w:val="single"/>
        </w:rPr>
      </w:pPr>
      <w:r>
        <w:rPr>
          <w:b/>
          <w:bCs/>
          <w:u w:val="single"/>
        </w:rPr>
        <w:t>A RESOLUTION</w:t>
      </w:r>
    </w:p>
    <w:p w14:paraId="6C41C5F5" w14:textId="3254285D" w:rsidR="007110D8" w:rsidRDefault="007110D8" w:rsidP="007110D8">
      <w:pPr>
        <w:jc w:val="center"/>
        <w:rPr>
          <w:b/>
          <w:bCs/>
          <w:u w:val="single"/>
        </w:rPr>
      </w:pPr>
    </w:p>
    <w:p w14:paraId="619D420A" w14:textId="7A671718" w:rsidR="007110D8" w:rsidRDefault="007110D8" w:rsidP="007110D8">
      <w:pPr>
        <w:rPr>
          <w:b/>
          <w:bCs/>
        </w:rPr>
      </w:pPr>
      <w:r>
        <w:rPr>
          <w:b/>
          <w:bCs/>
        </w:rPr>
        <w:tab/>
        <w:t>A RESOLUTION BY THE MAYOR AND COUNCIL OF THE CITY OF SENOIA, GEORGIA, REVISING WATER AND WASTEWATER RATES FOR CUSTOMERS OF THE CITY, EFFECTIVE JANUARY 1, 2021, IN ORDER TO MEET OPERATIONAL AND DEBT SERVICE OBLIGATIONS OF THE COMBINED PUBLIC UTILITY SYSTEM (WATER AND WASTEWATER) AND TO MAINTAIN AND EXPAND SAID SYSTEM IN A SOUND, FEASIBLE AND BUSINESSLIKE MANNER; AND FOR OTHER PURPOSES.</w:t>
      </w:r>
    </w:p>
    <w:p w14:paraId="5FEDF51E" w14:textId="46E17469" w:rsidR="007110D8" w:rsidRDefault="007110D8" w:rsidP="007110D8">
      <w:pPr>
        <w:rPr>
          <w:b/>
          <w:bCs/>
        </w:rPr>
      </w:pPr>
    </w:p>
    <w:p w14:paraId="523BCB4B" w14:textId="4C9C6E3B" w:rsidR="007110D8" w:rsidRPr="007110D8" w:rsidRDefault="007110D8" w:rsidP="007110D8">
      <w:r>
        <w:rPr>
          <w:b/>
          <w:bCs/>
        </w:rPr>
        <w:tab/>
        <w:t xml:space="preserve">WHEREAS, </w:t>
      </w:r>
      <w:r w:rsidRPr="007110D8">
        <w:t xml:space="preserve">the Code of Senoia authorizes the Mayor and Counsel to establish and maintain user rates, fees and charges for its Combined Public Utility System, consisting of the Water and Wastewater systems </w:t>
      </w:r>
      <w:r w:rsidR="008544BB">
        <w:t>of</w:t>
      </w:r>
      <w:r w:rsidRPr="007110D8">
        <w:t xml:space="preserve"> the City</w:t>
      </w:r>
      <w:r w:rsidR="008544BB">
        <w:t xml:space="preserve"> and to operate said systems in a sound, feasible and businesslike manner</w:t>
      </w:r>
      <w:r w:rsidRPr="007110D8">
        <w:t>; and</w:t>
      </w:r>
    </w:p>
    <w:p w14:paraId="01FABD29" w14:textId="0B37869F" w:rsidR="007110D8" w:rsidRDefault="007110D8" w:rsidP="007110D8">
      <w:pPr>
        <w:rPr>
          <w:b/>
          <w:bCs/>
        </w:rPr>
      </w:pPr>
    </w:p>
    <w:p w14:paraId="6C343920" w14:textId="084B4DA9" w:rsidR="007110D8" w:rsidRDefault="007110D8" w:rsidP="007110D8">
      <w:r>
        <w:rPr>
          <w:b/>
          <w:bCs/>
        </w:rPr>
        <w:tab/>
        <w:t xml:space="preserve">WHEREAS, </w:t>
      </w:r>
      <w:r>
        <w:t>sound and prudent management of a public utility traditionally requires that rates, fees, and charges be maintained so as to provide a debt coverage ratio of at least 1</w:t>
      </w:r>
      <w:r w:rsidR="005333EB">
        <w:t>1</w:t>
      </w:r>
      <w:r>
        <w:t xml:space="preserve">0 </w:t>
      </w:r>
      <w:r w:rsidR="005333EB">
        <w:t>percent of</w:t>
      </w:r>
      <w:r>
        <w:t xml:space="preserve"> the debt service </w:t>
      </w:r>
      <w:r w:rsidR="005333EB">
        <w:t>requirement (as defined in the Resolution for issuing City of Senoia Water and Sewer Refunding Bonds, Series 2021, adopted November 1, 2021)</w:t>
      </w:r>
      <w:r w:rsidR="00656494">
        <w:t>,</w:t>
      </w:r>
      <w:r w:rsidR="005333EB">
        <w:t xml:space="preserve"> </w:t>
      </w:r>
      <w:r w:rsidR="00656494" w:rsidRPr="008544BB">
        <w:t xml:space="preserve">plus one hundred percent (100%) of the amounts required to be deposited in such Bond Year into the Debt Service Reserve Account (including the various accounts therein), </w:t>
      </w:r>
      <w:r w:rsidR="008544BB" w:rsidRPr="008544BB">
        <w:t>as</w:t>
      </w:r>
      <w:r w:rsidR="00656494" w:rsidRPr="008544BB">
        <w:t xml:space="preserve"> applicable</w:t>
      </w:r>
      <w:r w:rsidR="008544BB" w:rsidRPr="008544BB">
        <w:t xml:space="preserve">, </w:t>
      </w:r>
      <w:r>
        <w:t xml:space="preserve">which, based upon annual audit the City </w:t>
      </w:r>
      <w:r w:rsidR="005333EB">
        <w:t xml:space="preserve">is unable </w:t>
      </w:r>
      <w:r>
        <w:t xml:space="preserve">to do </w:t>
      </w:r>
      <w:r w:rsidR="005333EB">
        <w:t xml:space="preserve">under </w:t>
      </w:r>
      <w:r w:rsidR="00656494">
        <w:t xml:space="preserve">its </w:t>
      </w:r>
      <w:r w:rsidR="005333EB">
        <w:t>current rate</w:t>
      </w:r>
      <w:r w:rsidR="00656494">
        <w:t xml:space="preserve"> schedule</w:t>
      </w:r>
      <w:r>
        <w:t>; and</w:t>
      </w:r>
    </w:p>
    <w:p w14:paraId="71E4C76B" w14:textId="70C354AC" w:rsidR="007110D8" w:rsidRDefault="007110D8" w:rsidP="007110D8"/>
    <w:p w14:paraId="2C164B6C" w14:textId="13F15D83" w:rsidR="007110D8" w:rsidRDefault="007110D8" w:rsidP="007110D8">
      <w:r>
        <w:tab/>
      </w:r>
      <w:r>
        <w:rPr>
          <w:b/>
          <w:bCs/>
        </w:rPr>
        <w:t>WHEREAS</w:t>
      </w:r>
      <w:r>
        <w:t>, the City is lega</w:t>
      </w:r>
      <w:r w:rsidR="008544BB">
        <w:t>l</w:t>
      </w:r>
      <w:r>
        <w:t xml:space="preserve">ly obligated as a condition of incurring debt to </w:t>
      </w:r>
      <w:r w:rsidR="00656494">
        <w:t>operate, maintain, and</w:t>
      </w:r>
      <w:r>
        <w:t xml:space="preserve"> improve</w:t>
      </w:r>
      <w:r w:rsidR="00656494">
        <w:t xml:space="preserve"> </w:t>
      </w:r>
      <w:r>
        <w:t xml:space="preserve">its Combined Public Utilities System to meet the </w:t>
      </w:r>
      <w:r w:rsidR="008544BB">
        <w:t xml:space="preserve">rate covenants in its bond resolution and as set forth in that certain Loan Agreement and Promissory Note, entered with the Georgia Environmental Facilities Authority for construction of the Keg Creek Wastewater Treatment Plant, </w:t>
      </w:r>
      <w:r>
        <w:t>annually; and</w:t>
      </w:r>
    </w:p>
    <w:p w14:paraId="66B635C7" w14:textId="7739FF1D" w:rsidR="007110D8" w:rsidRDefault="007110D8" w:rsidP="007110D8"/>
    <w:p w14:paraId="06FCE3FD" w14:textId="0230032E" w:rsidR="007110D8" w:rsidRDefault="007110D8" w:rsidP="007110D8">
      <w:r>
        <w:tab/>
      </w:r>
      <w:r>
        <w:rPr>
          <w:b/>
          <w:bCs/>
        </w:rPr>
        <w:t>WHEREAS</w:t>
      </w:r>
      <w:r>
        <w:t xml:space="preserve">, the City has retained </w:t>
      </w:r>
      <w:r w:rsidR="00217BF4">
        <w:t>Raftelis</w:t>
      </w:r>
      <w:r>
        <w:t xml:space="preserve"> Financial Services to conduct a study of current utility rates and projected debt repayment obligations, existing and proposed</w:t>
      </w:r>
      <w:r w:rsidR="00E65019">
        <w:t xml:space="preserve">, which recommends current rates, fees and charges be </w:t>
      </w:r>
      <w:r w:rsidR="00656494">
        <w:t>increased accordingly</w:t>
      </w:r>
      <w:r w:rsidR="00E65019">
        <w:t>;</w:t>
      </w:r>
    </w:p>
    <w:p w14:paraId="1F1C5204" w14:textId="1C832ADD" w:rsidR="00E65019" w:rsidRDefault="00E65019" w:rsidP="007110D8"/>
    <w:p w14:paraId="6F1017BB" w14:textId="6A390425" w:rsidR="00E65019" w:rsidRDefault="00E65019" w:rsidP="007110D8">
      <w:pPr>
        <w:rPr>
          <w:b/>
          <w:bCs/>
        </w:rPr>
      </w:pPr>
      <w:r>
        <w:tab/>
      </w:r>
      <w:r>
        <w:rPr>
          <w:b/>
          <w:bCs/>
        </w:rPr>
        <w:t>NOW, THEREFORE, BE IT RESOLVED BY THE MAYOR &amp; COUNCIL THAT:</w:t>
      </w:r>
    </w:p>
    <w:p w14:paraId="2860F6E1" w14:textId="2AEBDDBF" w:rsidR="00E65019" w:rsidRDefault="00E65019" w:rsidP="007110D8">
      <w:pPr>
        <w:rPr>
          <w:b/>
          <w:bCs/>
        </w:rPr>
      </w:pPr>
    </w:p>
    <w:p w14:paraId="7A400BD4" w14:textId="41A5AADC" w:rsidR="00E65019" w:rsidRDefault="00E65019" w:rsidP="00E65019">
      <w:pPr>
        <w:pStyle w:val="ListParagraph"/>
        <w:numPr>
          <w:ilvl w:val="0"/>
          <w:numId w:val="1"/>
        </w:numPr>
      </w:pPr>
      <w:r>
        <w:t xml:space="preserve">Current rates, fees and charges of the Combined Public Utility System (Water and Wastewater) be increased to meet the recommendation of </w:t>
      </w:r>
      <w:r w:rsidR="00217BF4">
        <w:t>Raftelis</w:t>
      </w:r>
      <w:r>
        <w:t xml:space="preserve"> Financial Services, as follows:</w:t>
      </w:r>
    </w:p>
    <w:p w14:paraId="7A73E722" w14:textId="4B76ED73" w:rsidR="00E65019" w:rsidRDefault="00E65019" w:rsidP="00E65019">
      <w:pPr>
        <w:pStyle w:val="ListParagraph"/>
        <w:ind w:left="1080"/>
      </w:pPr>
    </w:p>
    <w:p w14:paraId="1DCBA5C7" w14:textId="47AF3B7F" w:rsidR="00E65019" w:rsidRPr="00E65019" w:rsidRDefault="00E65019" w:rsidP="00E65019">
      <w:pPr>
        <w:pStyle w:val="ListParagraph"/>
        <w:ind w:firstLine="360"/>
      </w:pPr>
      <w:r>
        <w:t>“</w:t>
      </w:r>
      <w:r w:rsidRPr="00E65019">
        <w:t>Recommended rate increases for both water and sewer</w:t>
      </w:r>
    </w:p>
    <w:p w14:paraId="28A3895A" w14:textId="0BCE3387" w:rsidR="00E65019" w:rsidRDefault="00E65019" w:rsidP="00E65019">
      <w:pPr>
        <w:pStyle w:val="ListParagraph"/>
        <w:numPr>
          <w:ilvl w:val="1"/>
          <w:numId w:val="2"/>
        </w:numPr>
      </w:pPr>
      <w:r w:rsidRPr="00E65019">
        <w:t>1</w:t>
      </w:r>
      <w:r w:rsidR="00334323">
        <w:t>5.0</w:t>
      </w:r>
      <w:r w:rsidRPr="00E65019">
        <w:t xml:space="preserve">% </w:t>
      </w:r>
      <w:r w:rsidR="00334323">
        <w:t>for</w:t>
      </w:r>
      <w:r w:rsidRPr="00E65019">
        <w:t xml:space="preserve"> </w:t>
      </w:r>
      <w:r w:rsidR="00334323">
        <w:t xml:space="preserve">calendar year </w:t>
      </w:r>
      <w:r w:rsidRPr="00E65019">
        <w:t>2022</w:t>
      </w:r>
      <w:r w:rsidR="00334323">
        <w:t>;</w:t>
      </w:r>
    </w:p>
    <w:p w14:paraId="69F3B7EC" w14:textId="084CF5E8" w:rsidR="00334323" w:rsidRPr="00E65019" w:rsidRDefault="00334323" w:rsidP="00E65019">
      <w:pPr>
        <w:pStyle w:val="ListParagraph"/>
        <w:numPr>
          <w:ilvl w:val="1"/>
          <w:numId w:val="2"/>
        </w:numPr>
      </w:pPr>
      <w:r>
        <w:t>15.5% for calendar year 2023; and</w:t>
      </w:r>
    </w:p>
    <w:p w14:paraId="24D9152B" w14:textId="5626F57A" w:rsidR="00E65019" w:rsidRDefault="00E65019" w:rsidP="00E65019">
      <w:pPr>
        <w:pStyle w:val="ListParagraph"/>
        <w:numPr>
          <w:ilvl w:val="1"/>
          <w:numId w:val="2"/>
        </w:numPr>
      </w:pPr>
      <w:r w:rsidRPr="00E65019">
        <w:t xml:space="preserve">3% </w:t>
      </w:r>
      <w:r w:rsidR="00334323">
        <w:t>each year for</w:t>
      </w:r>
      <w:r w:rsidRPr="00E65019">
        <w:t xml:space="preserve"> </w:t>
      </w:r>
      <w:r w:rsidR="00334323">
        <w:t xml:space="preserve">calendar years </w:t>
      </w:r>
      <w:r w:rsidRPr="00E65019">
        <w:t>2024-2026</w:t>
      </w:r>
      <w:r>
        <w:t>”</w:t>
      </w:r>
    </w:p>
    <w:p w14:paraId="46C0708B" w14:textId="372F071F" w:rsidR="00E65019" w:rsidRDefault="00E65019" w:rsidP="00E65019">
      <w:pPr>
        <w:ind w:left="720"/>
      </w:pPr>
      <w:r>
        <w:lastRenderedPageBreak/>
        <w:t>Said adjusted rates shall be incorporated into a Utility Rate Schedule to be maintained for public inspection and copying in the Office of the City Clerk in City Hall, effective January 1, 2021</w:t>
      </w:r>
      <w:r w:rsidR="00656494">
        <w:t>.</w:t>
      </w:r>
    </w:p>
    <w:p w14:paraId="1E6C3EEF" w14:textId="39B7183D" w:rsidR="00E65019" w:rsidRDefault="00E65019" w:rsidP="00E65019"/>
    <w:p w14:paraId="4029A597" w14:textId="386582E6" w:rsidR="00E65019" w:rsidRDefault="00E65019" w:rsidP="00E65019">
      <w:r>
        <w:rPr>
          <w:b/>
          <w:bCs/>
        </w:rPr>
        <w:tab/>
        <w:t>RESOLVED FURTHER</w:t>
      </w:r>
      <w:r>
        <w:t xml:space="preserve">, that the new rate schedule be posted </w:t>
      </w:r>
      <w:r w:rsidR="00656494">
        <w:t xml:space="preserve">immediately </w:t>
      </w:r>
      <w:r>
        <w:t>on the City’s website.</w:t>
      </w:r>
    </w:p>
    <w:p w14:paraId="5F9B7613" w14:textId="77777777" w:rsidR="005333EB" w:rsidRDefault="005333EB" w:rsidP="00E65019"/>
    <w:p w14:paraId="1DE7AF6A" w14:textId="10B9490B" w:rsidR="00E65019" w:rsidRDefault="00E65019" w:rsidP="00E65019">
      <w:r>
        <w:tab/>
      </w:r>
      <w:r>
        <w:rPr>
          <w:b/>
          <w:bCs/>
        </w:rPr>
        <w:t xml:space="preserve">SO RESOLVED, THIS </w:t>
      </w:r>
      <w:r w:rsidR="00656494">
        <w:rPr>
          <w:b/>
          <w:bCs/>
        </w:rPr>
        <w:t>6</w:t>
      </w:r>
      <w:r w:rsidRPr="00E65019">
        <w:rPr>
          <w:b/>
          <w:bCs/>
          <w:vertAlign w:val="superscript"/>
        </w:rPr>
        <w:t>TH</w:t>
      </w:r>
      <w:r>
        <w:rPr>
          <w:b/>
          <w:bCs/>
        </w:rPr>
        <w:t xml:space="preserve"> DAY OF </w:t>
      </w:r>
      <w:r w:rsidR="00656494">
        <w:rPr>
          <w:b/>
          <w:bCs/>
        </w:rPr>
        <w:t>DECEMBER</w:t>
      </w:r>
      <w:r>
        <w:rPr>
          <w:b/>
          <w:bCs/>
        </w:rPr>
        <w:t>, 2021.</w:t>
      </w:r>
    </w:p>
    <w:p w14:paraId="57F1F6A7" w14:textId="78903D01" w:rsidR="00E65019" w:rsidRDefault="00E65019" w:rsidP="00E65019"/>
    <w:p w14:paraId="5081557C" w14:textId="48163533" w:rsidR="00E65019" w:rsidRDefault="00E65019" w:rsidP="00E65019">
      <w:r>
        <w:tab/>
      </w:r>
      <w:r>
        <w:tab/>
      </w:r>
      <w:r>
        <w:tab/>
      </w:r>
      <w:r>
        <w:tab/>
      </w:r>
      <w:r>
        <w:tab/>
      </w:r>
      <w:r>
        <w:tab/>
      </w:r>
      <w:r>
        <w:tab/>
        <w:t>City of Senoia, Georgia</w:t>
      </w:r>
    </w:p>
    <w:p w14:paraId="1703B687" w14:textId="047E1A16" w:rsidR="00E65019" w:rsidRDefault="00E65019" w:rsidP="00E65019"/>
    <w:p w14:paraId="74BB6494" w14:textId="540E7082" w:rsidR="00E65019" w:rsidRDefault="00E65019" w:rsidP="00E65019"/>
    <w:p w14:paraId="48FF170C" w14:textId="2665DB7E" w:rsidR="00E65019" w:rsidRDefault="00E65019" w:rsidP="00E65019">
      <w:r>
        <w:tab/>
      </w:r>
      <w:r>
        <w:tab/>
      </w:r>
      <w:r>
        <w:tab/>
      </w:r>
      <w:r>
        <w:tab/>
      </w:r>
      <w:r>
        <w:tab/>
      </w:r>
      <w:r>
        <w:tab/>
      </w:r>
      <w:r>
        <w:tab/>
        <w:t>By:_________________</w:t>
      </w:r>
    </w:p>
    <w:p w14:paraId="2CA229F2" w14:textId="5F878C16" w:rsidR="00E65019" w:rsidRDefault="00E65019" w:rsidP="00E65019">
      <w:r>
        <w:tab/>
      </w:r>
      <w:r>
        <w:tab/>
      </w:r>
      <w:r>
        <w:tab/>
      </w:r>
      <w:r>
        <w:tab/>
      </w:r>
      <w:r>
        <w:tab/>
      </w:r>
      <w:r>
        <w:tab/>
      </w:r>
      <w:r>
        <w:tab/>
        <w:t>William “Dub” Pearman</w:t>
      </w:r>
    </w:p>
    <w:p w14:paraId="6E161409" w14:textId="11884535" w:rsidR="00E65019" w:rsidRDefault="00E65019" w:rsidP="00E65019">
      <w:r>
        <w:tab/>
      </w:r>
      <w:r>
        <w:tab/>
      </w:r>
      <w:r>
        <w:tab/>
      </w:r>
      <w:r>
        <w:tab/>
      </w:r>
      <w:r>
        <w:tab/>
      </w:r>
      <w:r>
        <w:tab/>
      </w:r>
      <w:r>
        <w:tab/>
        <w:t>Mayor</w:t>
      </w:r>
    </w:p>
    <w:p w14:paraId="33D3C29E" w14:textId="5DDE025C" w:rsidR="00E65019" w:rsidRDefault="00E65019" w:rsidP="00E65019"/>
    <w:p w14:paraId="290D70E5" w14:textId="5266FC17" w:rsidR="00E65019" w:rsidRDefault="00E65019" w:rsidP="00E65019">
      <w:r>
        <w:t>Attest:________________</w:t>
      </w:r>
    </w:p>
    <w:p w14:paraId="53E1CD8E" w14:textId="75D6A1F7" w:rsidR="00E65019" w:rsidRDefault="00E65019" w:rsidP="00E65019">
      <w:r>
        <w:tab/>
        <w:t>Lynn Carter, City Clerk</w:t>
      </w:r>
    </w:p>
    <w:p w14:paraId="46107A0B" w14:textId="0126C567" w:rsidR="00E65019" w:rsidRDefault="00E65019" w:rsidP="00E65019"/>
    <w:p w14:paraId="476FA5E2" w14:textId="213BA20D" w:rsidR="00E65019" w:rsidRDefault="00E65019" w:rsidP="00E65019"/>
    <w:p w14:paraId="07C48E97" w14:textId="67D7042E" w:rsidR="00E65019" w:rsidRPr="00E65019" w:rsidRDefault="00E65019" w:rsidP="00E65019">
      <w:r>
        <w:t>SEAL</w:t>
      </w:r>
    </w:p>
    <w:p w14:paraId="2C803669" w14:textId="77777777" w:rsidR="00E65019" w:rsidRPr="00E65019" w:rsidRDefault="00E65019" w:rsidP="00E65019">
      <w:pPr>
        <w:pStyle w:val="ListParagraph"/>
        <w:ind w:left="1080"/>
      </w:pPr>
    </w:p>
    <w:sectPr w:rsidR="00E65019" w:rsidRPr="00E6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BD3"/>
    <w:multiLevelType w:val="hybridMultilevel"/>
    <w:tmpl w:val="D2629576"/>
    <w:lvl w:ilvl="0" w:tplc="54689D50">
      <w:start w:val="1"/>
      <w:numFmt w:val="bullet"/>
      <w:lvlText w:val="•"/>
      <w:lvlJc w:val="left"/>
      <w:pPr>
        <w:tabs>
          <w:tab w:val="num" w:pos="720"/>
        </w:tabs>
        <w:ind w:left="720" w:hanging="360"/>
      </w:pPr>
      <w:rPr>
        <w:rFonts w:ascii="Arial" w:hAnsi="Arial" w:hint="default"/>
      </w:rPr>
    </w:lvl>
    <w:lvl w:ilvl="1" w:tplc="75EEAC42">
      <w:start w:val="213"/>
      <w:numFmt w:val="bullet"/>
      <w:lvlText w:val="›"/>
      <w:lvlJc w:val="left"/>
      <w:pPr>
        <w:tabs>
          <w:tab w:val="num" w:pos="1440"/>
        </w:tabs>
        <w:ind w:left="1440" w:hanging="360"/>
      </w:pPr>
      <w:rPr>
        <w:rFonts w:ascii="Calibri" w:hAnsi="Calibri" w:hint="default"/>
      </w:rPr>
    </w:lvl>
    <w:lvl w:ilvl="2" w:tplc="0CD81316" w:tentative="1">
      <w:start w:val="1"/>
      <w:numFmt w:val="bullet"/>
      <w:lvlText w:val="•"/>
      <w:lvlJc w:val="left"/>
      <w:pPr>
        <w:tabs>
          <w:tab w:val="num" w:pos="2160"/>
        </w:tabs>
        <w:ind w:left="2160" w:hanging="360"/>
      </w:pPr>
      <w:rPr>
        <w:rFonts w:ascii="Arial" w:hAnsi="Arial" w:hint="default"/>
      </w:rPr>
    </w:lvl>
    <w:lvl w:ilvl="3" w:tplc="9976F2FA" w:tentative="1">
      <w:start w:val="1"/>
      <w:numFmt w:val="bullet"/>
      <w:lvlText w:val="•"/>
      <w:lvlJc w:val="left"/>
      <w:pPr>
        <w:tabs>
          <w:tab w:val="num" w:pos="2880"/>
        </w:tabs>
        <w:ind w:left="2880" w:hanging="360"/>
      </w:pPr>
      <w:rPr>
        <w:rFonts w:ascii="Arial" w:hAnsi="Arial" w:hint="default"/>
      </w:rPr>
    </w:lvl>
    <w:lvl w:ilvl="4" w:tplc="00B0BFA0" w:tentative="1">
      <w:start w:val="1"/>
      <w:numFmt w:val="bullet"/>
      <w:lvlText w:val="•"/>
      <w:lvlJc w:val="left"/>
      <w:pPr>
        <w:tabs>
          <w:tab w:val="num" w:pos="3600"/>
        </w:tabs>
        <w:ind w:left="3600" w:hanging="360"/>
      </w:pPr>
      <w:rPr>
        <w:rFonts w:ascii="Arial" w:hAnsi="Arial" w:hint="default"/>
      </w:rPr>
    </w:lvl>
    <w:lvl w:ilvl="5" w:tplc="E2101EBA" w:tentative="1">
      <w:start w:val="1"/>
      <w:numFmt w:val="bullet"/>
      <w:lvlText w:val="•"/>
      <w:lvlJc w:val="left"/>
      <w:pPr>
        <w:tabs>
          <w:tab w:val="num" w:pos="4320"/>
        </w:tabs>
        <w:ind w:left="4320" w:hanging="360"/>
      </w:pPr>
      <w:rPr>
        <w:rFonts w:ascii="Arial" w:hAnsi="Arial" w:hint="default"/>
      </w:rPr>
    </w:lvl>
    <w:lvl w:ilvl="6" w:tplc="420E889A" w:tentative="1">
      <w:start w:val="1"/>
      <w:numFmt w:val="bullet"/>
      <w:lvlText w:val="•"/>
      <w:lvlJc w:val="left"/>
      <w:pPr>
        <w:tabs>
          <w:tab w:val="num" w:pos="5040"/>
        </w:tabs>
        <w:ind w:left="5040" w:hanging="360"/>
      </w:pPr>
      <w:rPr>
        <w:rFonts w:ascii="Arial" w:hAnsi="Arial" w:hint="default"/>
      </w:rPr>
    </w:lvl>
    <w:lvl w:ilvl="7" w:tplc="FA7E7FC8" w:tentative="1">
      <w:start w:val="1"/>
      <w:numFmt w:val="bullet"/>
      <w:lvlText w:val="•"/>
      <w:lvlJc w:val="left"/>
      <w:pPr>
        <w:tabs>
          <w:tab w:val="num" w:pos="5760"/>
        </w:tabs>
        <w:ind w:left="5760" w:hanging="360"/>
      </w:pPr>
      <w:rPr>
        <w:rFonts w:ascii="Arial" w:hAnsi="Arial" w:hint="default"/>
      </w:rPr>
    </w:lvl>
    <w:lvl w:ilvl="8" w:tplc="A51223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50EAA"/>
    <w:multiLevelType w:val="hybridMultilevel"/>
    <w:tmpl w:val="2494B6C8"/>
    <w:lvl w:ilvl="0" w:tplc="69DC9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8"/>
    <w:rsid w:val="00217BF4"/>
    <w:rsid w:val="00334323"/>
    <w:rsid w:val="005333EB"/>
    <w:rsid w:val="00656494"/>
    <w:rsid w:val="007110D8"/>
    <w:rsid w:val="008544BB"/>
    <w:rsid w:val="00E65019"/>
    <w:rsid w:val="00EB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41C7"/>
  <w15:chartTrackingRefBased/>
  <w15:docId w15:val="{AA8CC7E3-BD66-E34F-9B02-60E25211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9337">
      <w:bodyDiv w:val="1"/>
      <w:marLeft w:val="0"/>
      <w:marRight w:val="0"/>
      <w:marTop w:val="0"/>
      <w:marBottom w:val="0"/>
      <w:divBdr>
        <w:top w:val="none" w:sz="0" w:space="0" w:color="auto"/>
        <w:left w:val="none" w:sz="0" w:space="0" w:color="auto"/>
        <w:bottom w:val="none" w:sz="0" w:space="0" w:color="auto"/>
        <w:right w:val="none" w:sz="0" w:space="0" w:color="auto"/>
      </w:divBdr>
      <w:divsChild>
        <w:div w:id="341974886">
          <w:marLeft w:val="360"/>
          <w:marRight w:val="0"/>
          <w:marTop w:val="200"/>
          <w:marBottom w:val="0"/>
          <w:divBdr>
            <w:top w:val="none" w:sz="0" w:space="0" w:color="auto"/>
            <w:left w:val="none" w:sz="0" w:space="0" w:color="auto"/>
            <w:bottom w:val="none" w:sz="0" w:space="0" w:color="auto"/>
            <w:right w:val="none" w:sz="0" w:space="0" w:color="auto"/>
          </w:divBdr>
        </w:div>
        <w:div w:id="938681327">
          <w:marLeft w:val="1080"/>
          <w:marRight w:val="0"/>
          <w:marTop w:val="100"/>
          <w:marBottom w:val="0"/>
          <w:divBdr>
            <w:top w:val="none" w:sz="0" w:space="0" w:color="auto"/>
            <w:left w:val="none" w:sz="0" w:space="0" w:color="auto"/>
            <w:bottom w:val="none" w:sz="0" w:space="0" w:color="auto"/>
            <w:right w:val="none" w:sz="0" w:space="0" w:color="auto"/>
          </w:divBdr>
        </w:div>
        <w:div w:id="4967757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84FC-0978-4475-8C70-6ECA2CD3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Whalen</dc:creator>
  <cp:keywords/>
  <dc:description/>
  <cp:lastModifiedBy>Harold Simmons</cp:lastModifiedBy>
  <cp:revision>2</cp:revision>
  <dcterms:created xsi:type="dcterms:W3CDTF">2021-11-22T16:46:00Z</dcterms:created>
  <dcterms:modified xsi:type="dcterms:W3CDTF">2021-11-22T16:46:00Z</dcterms:modified>
</cp:coreProperties>
</file>