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C9A9" w14:textId="4C0EFE55" w:rsidR="003061BE" w:rsidRPr="00881E6E" w:rsidRDefault="0072134D" w:rsidP="0072134D">
      <w:pPr>
        <w:jc w:val="center"/>
        <w:rPr>
          <w:rFonts w:cstheme="minorHAnsi"/>
          <w:b/>
          <w:bCs/>
          <w:sz w:val="24"/>
          <w:szCs w:val="24"/>
        </w:rPr>
      </w:pPr>
      <w:r w:rsidRPr="00881E6E">
        <w:rPr>
          <w:rFonts w:cstheme="minorHAnsi"/>
          <w:b/>
          <w:bCs/>
          <w:sz w:val="24"/>
          <w:szCs w:val="24"/>
        </w:rPr>
        <w:t>ORDINANCE NO.</w:t>
      </w:r>
    </w:p>
    <w:p w14:paraId="002DC512" w14:textId="1FB173E4" w:rsidR="00BD7001" w:rsidRPr="00881E6E" w:rsidRDefault="0072134D" w:rsidP="00EA1D2F">
      <w:pPr>
        <w:jc w:val="both"/>
        <w:rPr>
          <w:rFonts w:cstheme="minorHAnsi"/>
          <w:b/>
          <w:bCs/>
          <w:sz w:val="24"/>
          <w:szCs w:val="24"/>
        </w:rPr>
      </w:pPr>
      <w:r w:rsidRPr="00881E6E">
        <w:rPr>
          <w:rFonts w:cstheme="minorHAnsi"/>
          <w:b/>
          <w:bCs/>
          <w:sz w:val="24"/>
          <w:szCs w:val="24"/>
        </w:rPr>
        <w:t xml:space="preserve">AN ORDINANCE TO AMEND THE CODE OF ORDINANCES OF THE CITY OF SENOIA, GEORGIA, TO AMEND CHAPTER 74 OF THE CODE OF THE CITY </w:t>
      </w:r>
      <w:r w:rsidR="0063660E" w:rsidRPr="00881E6E">
        <w:rPr>
          <w:rFonts w:cstheme="minorHAnsi"/>
          <w:b/>
          <w:bCs/>
          <w:sz w:val="24"/>
          <w:szCs w:val="24"/>
        </w:rPr>
        <w:t xml:space="preserve">IN ORDER TO PROVIDE </w:t>
      </w:r>
      <w:r w:rsidR="00D47688" w:rsidRPr="00881E6E">
        <w:rPr>
          <w:rFonts w:cstheme="minorHAnsi"/>
          <w:b/>
          <w:bCs/>
          <w:sz w:val="24"/>
          <w:szCs w:val="24"/>
        </w:rPr>
        <w:t xml:space="preserve">GASOLINE SERVICE STATION </w:t>
      </w:r>
      <w:r w:rsidR="00B21094">
        <w:rPr>
          <w:rFonts w:cstheme="minorHAnsi"/>
          <w:b/>
          <w:bCs/>
          <w:sz w:val="24"/>
          <w:szCs w:val="24"/>
        </w:rPr>
        <w:t xml:space="preserve">WITH AUTO SERVICE </w:t>
      </w:r>
      <w:r w:rsidR="0063660E" w:rsidRPr="00881E6E">
        <w:rPr>
          <w:rFonts w:cstheme="minorHAnsi"/>
          <w:b/>
          <w:bCs/>
          <w:sz w:val="24"/>
          <w:szCs w:val="24"/>
        </w:rPr>
        <w:t>LOCATION AND SITE REQUIREMENTS; TO REPEAL, TO PROVIDE SERVERABILITY; TO REPEAL CONFLICTING ORDINANCES; TO PROVIDE FOR AN EFFECTIVE DATE; AND FOR OTHER PURPOSES</w:t>
      </w:r>
      <w:r w:rsidR="00D47688" w:rsidRPr="00881E6E">
        <w:rPr>
          <w:rFonts w:cstheme="minorHAnsi"/>
          <w:b/>
          <w:bCs/>
          <w:sz w:val="24"/>
          <w:szCs w:val="24"/>
        </w:rPr>
        <w:t>.</w:t>
      </w:r>
      <w:r w:rsidRPr="00881E6E">
        <w:rPr>
          <w:rFonts w:cstheme="minorHAnsi"/>
          <w:b/>
          <w:bCs/>
          <w:sz w:val="24"/>
          <w:szCs w:val="24"/>
        </w:rPr>
        <w:t xml:space="preserve"> </w:t>
      </w:r>
    </w:p>
    <w:p w14:paraId="256A27E9" w14:textId="7489E36B" w:rsidR="00B07069" w:rsidRDefault="00D47688" w:rsidP="00EA1D2F">
      <w:pPr>
        <w:jc w:val="both"/>
        <w:rPr>
          <w:rFonts w:cstheme="minorHAnsi"/>
          <w:sz w:val="24"/>
          <w:szCs w:val="24"/>
        </w:rPr>
      </w:pPr>
      <w:r w:rsidRPr="00881E6E">
        <w:rPr>
          <w:rFonts w:cstheme="minorHAnsi"/>
          <w:b/>
          <w:bCs/>
          <w:sz w:val="24"/>
          <w:szCs w:val="24"/>
        </w:rPr>
        <w:t>BE IT AN IT IS HERBY ORDAINED</w:t>
      </w:r>
      <w:r w:rsidRPr="00881E6E">
        <w:rPr>
          <w:rFonts w:cstheme="minorHAnsi"/>
          <w:sz w:val="24"/>
          <w:szCs w:val="24"/>
        </w:rPr>
        <w:t xml:space="preserve"> by the Mayor and City Council of the City of Senoia, Georgia, and by the authority thereof:</w:t>
      </w:r>
    </w:p>
    <w:p w14:paraId="39EAA37B" w14:textId="46FE50AF" w:rsidR="002F5886" w:rsidRDefault="00D4666F" w:rsidP="00EA1D2F">
      <w:pPr>
        <w:jc w:val="both"/>
        <w:rPr>
          <w:rFonts w:cstheme="minorHAnsi"/>
          <w:sz w:val="24"/>
          <w:szCs w:val="24"/>
        </w:rPr>
      </w:pPr>
      <w:r w:rsidRPr="00881E6E">
        <w:rPr>
          <w:rFonts w:cstheme="minorHAnsi"/>
          <w:b/>
          <w:bCs/>
          <w:sz w:val="24"/>
          <w:szCs w:val="24"/>
        </w:rPr>
        <w:t xml:space="preserve">Section 1. </w:t>
      </w:r>
      <w:bookmarkStart w:id="0" w:name="_Hlk130194903"/>
      <w:bookmarkStart w:id="1" w:name="_Hlk130194832"/>
      <w:r w:rsidR="00BC10A6" w:rsidRPr="00881E6E">
        <w:rPr>
          <w:rFonts w:cstheme="minorHAnsi"/>
          <w:sz w:val="24"/>
          <w:szCs w:val="24"/>
        </w:rPr>
        <w:t xml:space="preserve">That Chapter 74, Zoning, of the Code of Ordinances of the City of Senoia, Georgia, </w:t>
      </w:r>
      <w:r w:rsidR="002F5886">
        <w:rPr>
          <w:rFonts w:cstheme="minorHAnsi"/>
          <w:sz w:val="24"/>
          <w:szCs w:val="24"/>
        </w:rPr>
        <w:t>is hereby</w:t>
      </w:r>
      <w:r w:rsidR="00BC10A6" w:rsidRPr="00881E6E">
        <w:rPr>
          <w:rFonts w:cstheme="minorHAnsi"/>
          <w:sz w:val="24"/>
          <w:szCs w:val="24"/>
        </w:rPr>
        <w:t xml:space="preserve"> amended </w:t>
      </w:r>
      <w:r w:rsidR="000371D8" w:rsidRPr="00881E6E">
        <w:rPr>
          <w:rFonts w:cstheme="minorHAnsi"/>
          <w:sz w:val="24"/>
          <w:szCs w:val="24"/>
        </w:rPr>
        <w:t xml:space="preserve">in Sec. 74-99, </w:t>
      </w:r>
      <w:r w:rsidR="002F5886">
        <w:rPr>
          <w:rFonts w:cstheme="minorHAnsi"/>
          <w:sz w:val="24"/>
          <w:szCs w:val="24"/>
        </w:rPr>
        <w:t xml:space="preserve">Table 6.4 </w:t>
      </w:r>
      <w:r w:rsidR="000371D8" w:rsidRPr="00881E6E">
        <w:rPr>
          <w:rFonts w:cstheme="minorHAnsi"/>
          <w:sz w:val="24"/>
          <w:szCs w:val="24"/>
        </w:rPr>
        <w:t xml:space="preserve">Permitted Uses, </w:t>
      </w:r>
      <w:r w:rsidR="002F5886">
        <w:rPr>
          <w:rFonts w:cstheme="minorHAnsi"/>
          <w:sz w:val="24"/>
          <w:szCs w:val="24"/>
        </w:rPr>
        <w:t>by striking</w:t>
      </w:r>
      <w:r w:rsidR="000371D8" w:rsidRPr="00881E6E">
        <w:rPr>
          <w:rFonts w:cstheme="minorHAnsi"/>
          <w:sz w:val="24"/>
          <w:szCs w:val="24"/>
        </w:rPr>
        <w:t xml:space="preserve"> the Condition</w:t>
      </w:r>
      <w:r w:rsidR="001D7178">
        <w:rPr>
          <w:rFonts w:cstheme="minorHAnsi"/>
          <w:sz w:val="24"/>
          <w:szCs w:val="24"/>
        </w:rPr>
        <w:t>al Use requirement under “</w:t>
      </w:r>
      <w:r w:rsidR="001D7178" w:rsidRPr="001D7178">
        <w:rPr>
          <w:rFonts w:cstheme="minorHAnsi"/>
          <w:sz w:val="24"/>
          <w:szCs w:val="24"/>
        </w:rPr>
        <w:t>Gasoline Service Station with Auto Service</w:t>
      </w:r>
      <w:r w:rsidR="001D7178">
        <w:rPr>
          <w:rFonts w:cstheme="minorHAnsi"/>
          <w:sz w:val="24"/>
          <w:szCs w:val="24"/>
        </w:rPr>
        <w:t>” in its entirety</w:t>
      </w:r>
      <w:r w:rsidR="006B56FC">
        <w:rPr>
          <w:rFonts w:cstheme="minorHAnsi"/>
          <w:sz w:val="24"/>
          <w:szCs w:val="24"/>
        </w:rPr>
        <w:t xml:space="preserve"> and permitting its Use without Condition in the General Commercial Zoning District</w:t>
      </w:r>
      <w:r w:rsidR="007F6DCD">
        <w:rPr>
          <w:rFonts w:cstheme="minorHAnsi"/>
          <w:sz w:val="24"/>
          <w:szCs w:val="24"/>
        </w:rPr>
        <w:t xml:space="preserve"> </w:t>
      </w:r>
      <w:r w:rsidR="00B21094">
        <w:rPr>
          <w:rFonts w:cstheme="minorHAnsi"/>
          <w:sz w:val="24"/>
          <w:szCs w:val="24"/>
        </w:rPr>
        <w:t xml:space="preserve">to read </w:t>
      </w:r>
      <w:r w:rsidR="007F6DCD">
        <w:rPr>
          <w:rFonts w:cstheme="minorHAnsi"/>
          <w:sz w:val="24"/>
          <w:szCs w:val="24"/>
        </w:rPr>
        <w:t>as follows:</w:t>
      </w:r>
      <w:bookmarkEnd w:id="0"/>
    </w:p>
    <w:tbl>
      <w:tblPr>
        <w:tblStyle w:val="TableGrid"/>
        <w:tblW w:w="0" w:type="auto"/>
        <w:tblLook w:val="04A0" w:firstRow="1" w:lastRow="0" w:firstColumn="1" w:lastColumn="0" w:noHBand="0" w:noVBand="1"/>
      </w:tblPr>
      <w:tblGrid>
        <w:gridCol w:w="2052"/>
        <w:gridCol w:w="13"/>
        <w:gridCol w:w="740"/>
        <w:gridCol w:w="700"/>
        <w:gridCol w:w="810"/>
        <w:gridCol w:w="630"/>
        <w:gridCol w:w="720"/>
        <w:gridCol w:w="630"/>
        <w:gridCol w:w="720"/>
        <w:gridCol w:w="720"/>
        <w:gridCol w:w="810"/>
        <w:gridCol w:w="805"/>
      </w:tblGrid>
      <w:tr w:rsidR="00402E62" w14:paraId="403A79BE" w14:textId="77777777" w:rsidTr="00402E62">
        <w:tc>
          <w:tcPr>
            <w:tcW w:w="9350" w:type="dxa"/>
            <w:gridSpan w:val="12"/>
          </w:tcPr>
          <w:p w14:paraId="2E6A548D" w14:textId="2C1D4677" w:rsidR="00402E62" w:rsidRPr="00DC7D6F" w:rsidRDefault="00402E62" w:rsidP="00925E78">
            <w:pPr>
              <w:rPr>
                <w:rFonts w:cstheme="minorHAnsi"/>
                <w:sz w:val="20"/>
                <w:szCs w:val="20"/>
              </w:rPr>
            </w:pPr>
            <w:bookmarkStart w:id="2" w:name="_Hlk130194873"/>
            <w:r w:rsidRPr="00DC7D6F">
              <w:rPr>
                <w:rFonts w:cstheme="minorHAnsi"/>
                <w:sz w:val="20"/>
                <w:szCs w:val="20"/>
              </w:rPr>
              <w:t>Table 6.4 Permitted Uses</w:t>
            </w:r>
          </w:p>
        </w:tc>
      </w:tr>
      <w:tr w:rsidR="00402E62" w14:paraId="4E658838" w14:textId="77777777" w:rsidTr="00DC7D6F">
        <w:tc>
          <w:tcPr>
            <w:tcW w:w="2052" w:type="dxa"/>
          </w:tcPr>
          <w:p w14:paraId="7DC88007" w14:textId="305DCCA1" w:rsidR="00402E62" w:rsidRDefault="00402E62" w:rsidP="00402E62">
            <w:pPr>
              <w:rPr>
                <w:rFonts w:cstheme="minorHAnsi"/>
                <w:sz w:val="24"/>
                <w:szCs w:val="24"/>
              </w:rPr>
            </w:pPr>
            <w:r w:rsidRPr="00402E62">
              <w:rPr>
                <w:rFonts w:cstheme="minorHAnsi"/>
                <w:sz w:val="24"/>
                <w:szCs w:val="24"/>
              </w:rPr>
              <w:t>Permitted Uses</w:t>
            </w:r>
          </w:p>
        </w:tc>
        <w:tc>
          <w:tcPr>
            <w:tcW w:w="7298" w:type="dxa"/>
            <w:gridSpan w:val="11"/>
          </w:tcPr>
          <w:p w14:paraId="0FE48F99" w14:textId="7A91689E" w:rsidR="00402E62" w:rsidRPr="00DC7D6F" w:rsidRDefault="00402E62" w:rsidP="00402E62">
            <w:pPr>
              <w:rPr>
                <w:rFonts w:cstheme="minorHAnsi"/>
                <w:sz w:val="20"/>
                <w:szCs w:val="20"/>
              </w:rPr>
            </w:pPr>
            <w:r w:rsidRPr="00DC7D6F">
              <w:rPr>
                <w:rFonts w:cstheme="minorHAnsi"/>
                <w:sz w:val="20"/>
                <w:szCs w:val="20"/>
              </w:rPr>
              <w:t>Zoning District</w:t>
            </w:r>
          </w:p>
        </w:tc>
      </w:tr>
      <w:tr w:rsidR="00DC7D6F" w14:paraId="1C8C6C44" w14:textId="77777777" w:rsidTr="007F6DCD">
        <w:trPr>
          <w:trHeight w:val="440"/>
        </w:trPr>
        <w:tc>
          <w:tcPr>
            <w:tcW w:w="2052" w:type="dxa"/>
          </w:tcPr>
          <w:p w14:paraId="28049A24" w14:textId="77777777" w:rsidR="00DC7D6F" w:rsidRDefault="00DC7D6F" w:rsidP="00402E62">
            <w:pPr>
              <w:rPr>
                <w:rFonts w:cstheme="minorHAnsi"/>
                <w:sz w:val="24"/>
                <w:szCs w:val="24"/>
              </w:rPr>
            </w:pPr>
          </w:p>
        </w:tc>
        <w:tc>
          <w:tcPr>
            <w:tcW w:w="753" w:type="dxa"/>
            <w:gridSpan w:val="2"/>
          </w:tcPr>
          <w:p w14:paraId="539A15A4" w14:textId="363E72A0" w:rsidR="00DC7D6F" w:rsidRPr="00DC7D6F" w:rsidRDefault="00DC7D6F" w:rsidP="00402E62">
            <w:pPr>
              <w:rPr>
                <w:rFonts w:cstheme="minorHAnsi"/>
                <w:sz w:val="20"/>
                <w:szCs w:val="20"/>
              </w:rPr>
            </w:pPr>
            <w:r w:rsidRPr="00DC7D6F">
              <w:rPr>
                <w:rFonts w:cstheme="minorHAnsi"/>
                <w:sz w:val="20"/>
                <w:szCs w:val="20"/>
              </w:rPr>
              <w:t>R-25C</w:t>
            </w:r>
          </w:p>
        </w:tc>
        <w:tc>
          <w:tcPr>
            <w:tcW w:w="700" w:type="dxa"/>
          </w:tcPr>
          <w:p w14:paraId="593D281E" w14:textId="0EC671F4" w:rsidR="00DC7D6F" w:rsidRPr="00DC7D6F" w:rsidRDefault="00DC7D6F" w:rsidP="00402E62">
            <w:pPr>
              <w:rPr>
                <w:rFonts w:cstheme="minorHAnsi"/>
                <w:sz w:val="20"/>
                <w:szCs w:val="20"/>
              </w:rPr>
            </w:pPr>
            <w:r w:rsidRPr="00DC7D6F">
              <w:rPr>
                <w:rFonts w:cstheme="minorHAnsi"/>
                <w:sz w:val="20"/>
                <w:szCs w:val="20"/>
              </w:rPr>
              <w:t>R-40</w:t>
            </w:r>
          </w:p>
        </w:tc>
        <w:tc>
          <w:tcPr>
            <w:tcW w:w="810" w:type="dxa"/>
          </w:tcPr>
          <w:p w14:paraId="1A38E430" w14:textId="58B043AB" w:rsidR="00DC7D6F" w:rsidRPr="00DC7D6F" w:rsidRDefault="00DC7D6F" w:rsidP="00402E62">
            <w:pPr>
              <w:rPr>
                <w:rFonts w:cstheme="minorHAnsi"/>
                <w:sz w:val="20"/>
                <w:szCs w:val="20"/>
              </w:rPr>
            </w:pPr>
            <w:r w:rsidRPr="00DC7D6F">
              <w:rPr>
                <w:rFonts w:cstheme="minorHAnsi"/>
                <w:sz w:val="20"/>
                <w:szCs w:val="20"/>
              </w:rPr>
              <w:t>R-40C</w:t>
            </w:r>
          </w:p>
        </w:tc>
        <w:tc>
          <w:tcPr>
            <w:tcW w:w="630" w:type="dxa"/>
          </w:tcPr>
          <w:p w14:paraId="1396BE63" w14:textId="7A80789C" w:rsidR="00DC7D6F" w:rsidRPr="00DC7D6F" w:rsidRDefault="00DC7D6F" w:rsidP="00402E62">
            <w:pPr>
              <w:rPr>
                <w:rFonts w:cstheme="minorHAnsi"/>
                <w:sz w:val="20"/>
                <w:szCs w:val="20"/>
              </w:rPr>
            </w:pPr>
            <w:r w:rsidRPr="00DC7D6F">
              <w:rPr>
                <w:rFonts w:cstheme="minorHAnsi"/>
                <w:sz w:val="20"/>
                <w:szCs w:val="20"/>
              </w:rPr>
              <w:t>R-20</w:t>
            </w:r>
          </w:p>
        </w:tc>
        <w:tc>
          <w:tcPr>
            <w:tcW w:w="720" w:type="dxa"/>
          </w:tcPr>
          <w:p w14:paraId="1912913E" w14:textId="6E352E72" w:rsidR="00DC7D6F" w:rsidRPr="00DC7D6F" w:rsidRDefault="00DC7D6F" w:rsidP="00402E62">
            <w:pPr>
              <w:rPr>
                <w:rFonts w:cstheme="minorHAnsi"/>
                <w:sz w:val="20"/>
                <w:szCs w:val="20"/>
              </w:rPr>
            </w:pPr>
            <w:r w:rsidRPr="00DC7D6F">
              <w:rPr>
                <w:rFonts w:cstheme="minorHAnsi"/>
                <w:sz w:val="20"/>
                <w:szCs w:val="20"/>
              </w:rPr>
              <w:t>MR</w:t>
            </w:r>
          </w:p>
        </w:tc>
        <w:tc>
          <w:tcPr>
            <w:tcW w:w="630" w:type="dxa"/>
          </w:tcPr>
          <w:p w14:paraId="785AB09E" w14:textId="06D935BE" w:rsidR="00DC7D6F" w:rsidRPr="00DC7D6F" w:rsidRDefault="00DC7D6F" w:rsidP="00402E62">
            <w:pPr>
              <w:rPr>
                <w:rFonts w:cstheme="minorHAnsi"/>
                <w:sz w:val="20"/>
                <w:szCs w:val="20"/>
              </w:rPr>
            </w:pPr>
            <w:r w:rsidRPr="00DC7D6F">
              <w:rPr>
                <w:rFonts w:cstheme="minorHAnsi"/>
                <w:sz w:val="20"/>
                <w:szCs w:val="20"/>
              </w:rPr>
              <w:t>OI</w:t>
            </w:r>
          </w:p>
        </w:tc>
        <w:tc>
          <w:tcPr>
            <w:tcW w:w="720" w:type="dxa"/>
          </w:tcPr>
          <w:p w14:paraId="4A3686F9" w14:textId="5B405094" w:rsidR="00DC7D6F" w:rsidRPr="00DC7D6F" w:rsidRDefault="00DC7D6F" w:rsidP="00402E62">
            <w:pPr>
              <w:rPr>
                <w:rFonts w:cstheme="minorHAnsi"/>
                <w:sz w:val="20"/>
                <w:szCs w:val="20"/>
              </w:rPr>
            </w:pPr>
            <w:r>
              <w:rPr>
                <w:rFonts w:cstheme="minorHAnsi"/>
                <w:sz w:val="20"/>
                <w:szCs w:val="20"/>
              </w:rPr>
              <w:t>HT</w:t>
            </w:r>
          </w:p>
        </w:tc>
        <w:tc>
          <w:tcPr>
            <w:tcW w:w="720" w:type="dxa"/>
          </w:tcPr>
          <w:p w14:paraId="28E4D5C0" w14:textId="7D210696" w:rsidR="00DC7D6F" w:rsidRPr="00DC7D6F" w:rsidRDefault="00DC7D6F" w:rsidP="00402E62">
            <w:pPr>
              <w:rPr>
                <w:rFonts w:cstheme="minorHAnsi"/>
                <w:sz w:val="20"/>
                <w:szCs w:val="20"/>
              </w:rPr>
            </w:pPr>
            <w:r>
              <w:rPr>
                <w:rFonts w:cstheme="minorHAnsi"/>
                <w:sz w:val="20"/>
                <w:szCs w:val="20"/>
              </w:rPr>
              <w:t>GC</w:t>
            </w:r>
          </w:p>
        </w:tc>
        <w:tc>
          <w:tcPr>
            <w:tcW w:w="810" w:type="dxa"/>
          </w:tcPr>
          <w:p w14:paraId="0FFD1D53" w14:textId="77777777" w:rsidR="00DC7D6F" w:rsidRPr="00DC7D6F" w:rsidRDefault="00DC7D6F" w:rsidP="00402E62">
            <w:pPr>
              <w:rPr>
                <w:rFonts w:cstheme="minorHAnsi"/>
                <w:sz w:val="20"/>
                <w:szCs w:val="20"/>
              </w:rPr>
            </w:pPr>
            <w:r>
              <w:rPr>
                <w:rFonts w:cstheme="minorHAnsi"/>
                <w:sz w:val="20"/>
                <w:szCs w:val="20"/>
              </w:rPr>
              <w:t xml:space="preserve">GI  </w:t>
            </w:r>
          </w:p>
        </w:tc>
        <w:tc>
          <w:tcPr>
            <w:tcW w:w="805" w:type="dxa"/>
          </w:tcPr>
          <w:p w14:paraId="6DE8F1AD" w14:textId="3E1BE878" w:rsidR="00DC7D6F" w:rsidRPr="00DC7D6F" w:rsidRDefault="00DC7D6F" w:rsidP="00402E62">
            <w:pPr>
              <w:rPr>
                <w:rFonts w:cstheme="minorHAnsi"/>
                <w:sz w:val="20"/>
                <w:szCs w:val="20"/>
              </w:rPr>
            </w:pPr>
            <w:r>
              <w:rPr>
                <w:rFonts w:cstheme="minorHAnsi"/>
                <w:sz w:val="20"/>
                <w:szCs w:val="20"/>
              </w:rPr>
              <w:t>PR</w:t>
            </w:r>
          </w:p>
        </w:tc>
      </w:tr>
      <w:tr w:rsidR="007F6DCD" w14:paraId="386315B1" w14:textId="77777777" w:rsidTr="007F6DCD">
        <w:trPr>
          <w:trHeight w:val="440"/>
        </w:trPr>
        <w:tc>
          <w:tcPr>
            <w:tcW w:w="2065" w:type="dxa"/>
            <w:gridSpan w:val="2"/>
          </w:tcPr>
          <w:p w14:paraId="7FA7DDDD" w14:textId="35F29676" w:rsidR="007F6DCD" w:rsidRPr="00DC7D6F" w:rsidRDefault="007F6DCD" w:rsidP="007F6DCD">
            <w:pPr>
              <w:rPr>
                <w:rFonts w:cstheme="minorHAnsi"/>
                <w:sz w:val="20"/>
                <w:szCs w:val="20"/>
              </w:rPr>
            </w:pPr>
            <w:r>
              <w:rPr>
                <w:rFonts w:cstheme="minorHAnsi"/>
                <w:sz w:val="20"/>
                <w:szCs w:val="20"/>
              </w:rPr>
              <w:t xml:space="preserve">Gasoline Service Station with Auto Service </w:t>
            </w:r>
          </w:p>
        </w:tc>
        <w:tc>
          <w:tcPr>
            <w:tcW w:w="740" w:type="dxa"/>
          </w:tcPr>
          <w:p w14:paraId="601EAE96" w14:textId="77777777" w:rsidR="007F6DCD" w:rsidRPr="00DC7D6F" w:rsidRDefault="007F6DCD" w:rsidP="007F6DCD">
            <w:pPr>
              <w:rPr>
                <w:rFonts w:cstheme="minorHAnsi"/>
                <w:sz w:val="20"/>
                <w:szCs w:val="20"/>
              </w:rPr>
            </w:pPr>
          </w:p>
        </w:tc>
        <w:tc>
          <w:tcPr>
            <w:tcW w:w="700" w:type="dxa"/>
          </w:tcPr>
          <w:p w14:paraId="5C2E6A77" w14:textId="77777777" w:rsidR="007F6DCD" w:rsidRPr="00DC7D6F" w:rsidRDefault="007F6DCD" w:rsidP="007F6DCD">
            <w:pPr>
              <w:rPr>
                <w:rFonts w:cstheme="minorHAnsi"/>
                <w:sz w:val="20"/>
                <w:szCs w:val="20"/>
              </w:rPr>
            </w:pPr>
          </w:p>
        </w:tc>
        <w:tc>
          <w:tcPr>
            <w:tcW w:w="810" w:type="dxa"/>
          </w:tcPr>
          <w:p w14:paraId="7BB72ED1" w14:textId="77777777" w:rsidR="007F6DCD" w:rsidRPr="00DC7D6F" w:rsidRDefault="007F6DCD" w:rsidP="007F6DCD">
            <w:pPr>
              <w:rPr>
                <w:rFonts w:cstheme="minorHAnsi"/>
                <w:sz w:val="20"/>
                <w:szCs w:val="20"/>
              </w:rPr>
            </w:pPr>
          </w:p>
        </w:tc>
        <w:tc>
          <w:tcPr>
            <w:tcW w:w="630" w:type="dxa"/>
          </w:tcPr>
          <w:p w14:paraId="141C92CD" w14:textId="258AE2E0" w:rsidR="007F6DCD" w:rsidRPr="00DC7D6F" w:rsidRDefault="007F6DCD" w:rsidP="007F6DCD">
            <w:pPr>
              <w:rPr>
                <w:rFonts w:cstheme="minorHAnsi"/>
                <w:sz w:val="20"/>
                <w:szCs w:val="20"/>
              </w:rPr>
            </w:pPr>
          </w:p>
        </w:tc>
        <w:tc>
          <w:tcPr>
            <w:tcW w:w="720" w:type="dxa"/>
          </w:tcPr>
          <w:p w14:paraId="273881F0" w14:textId="77777777" w:rsidR="007F6DCD" w:rsidRPr="00DC7D6F" w:rsidRDefault="007F6DCD" w:rsidP="007F6DCD">
            <w:pPr>
              <w:rPr>
                <w:rFonts w:cstheme="minorHAnsi"/>
                <w:sz w:val="20"/>
                <w:szCs w:val="20"/>
              </w:rPr>
            </w:pPr>
          </w:p>
        </w:tc>
        <w:tc>
          <w:tcPr>
            <w:tcW w:w="630" w:type="dxa"/>
          </w:tcPr>
          <w:p w14:paraId="3DDDA842" w14:textId="77777777" w:rsidR="007F6DCD" w:rsidRPr="00DC7D6F" w:rsidRDefault="007F6DCD" w:rsidP="007F6DCD">
            <w:pPr>
              <w:rPr>
                <w:rFonts w:cstheme="minorHAnsi"/>
                <w:sz w:val="20"/>
                <w:szCs w:val="20"/>
              </w:rPr>
            </w:pPr>
          </w:p>
        </w:tc>
        <w:tc>
          <w:tcPr>
            <w:tcW w:w="720" w:type="dxa"/>
          </w:tcPr>
          <w:p w14:paraId="7B8CBE2B" w14:textId="77777777" w:rsidR="007F6DCD" w:rsidRDefault="007F6DCD" w:rsidP="007F6DCD">
            <w:pPr>
              <w:rPr>
                <w:rFonts w:cstheme="minorHAnsi"/>
                <w:sz w:val="24"/>
                <w:szCs w:val="24"/>
              </w:rPr>
            </w:pPr>
          </w:p>
        </w:tc>
        <w:tc>
          <w:tcPr>
            <w:tcW w:w="720" w:type="dxa"/>
          </w:tcPr>
          <w:p w14:paraId="616881CA" w14:textId="45FBDADE" w:rsidR="007F6DCD" w:rsidRDefault="007F6DCD" w:rsidP="007F6DCD">
            <w:pPr>
              <w:jc w:val="center"/>
              <w:rPr>
                <w:rFonts w:cstheme="minorHAnsi"/>
                <w:sz w:val="24"/>
                <w:szCs w:val="24"/>
              </w:rPr>
            </w:pPr>
            <w:r>
              <w:rPr>
                <w:rFonts w:cstheme="minorHAnsi"/>
                <w:sz w:val="24"/>
                <w:szCs w:val="24"/>
              </w:rPr>
              <w:t>X</w:t>
            </w:r>
          </w:p>
        </w:tc>
        <w:tc>
          <w:tcPr>
            <w:tcW w:w="810" w:type="dxa"/>
          </w:tcPr>
          <w:p w14:paraId="0147FA21" w14:textId="6A085F52" w:rsidR="007F6DCD" w:rsidRDefault="007F6DCD" w:rsidP="007F6DCD">
            <w:pPr>
              <w:jc w:val="center"/>
              <w:rPr>
                <w:rFonts w:cstheme="minorHAnsi"/>
                <w:sz w:val="24"/>
                <w:szCs w:val="24"/>
              </w:rPr>
            </w:pPr>
            <w:r>
              <w:rPr>
                <w:rFonts w:cstheme="minorHAnsi"/>
                <w:sz w:val="24"/>
                <w:szCs w:val="24"/>
              </w:rPr>
              <w:t>X</w:t>
            </w:r>
          </w:p>
        </w:tc>
        <w:tc>
          <w:tcPr>
            <w:tcW w:w="805" w:type="dxa"/>
          </w:tcPr>
          <w:p w14:paraId="41536C00" w14:textId="77777777" w:rsidR="007F6DCD" w:rsidRDefault="007F6DCD" w:rsidP="007F6DCD">
            <w:pPr>
              <w:rPr>
                <w:rFonts w:cstheme="minorHAnsi"/>
                <w:sz w:val="24"/>
                <w:szCs w:val="24"/>
              </w:rPr>
            </w:pPr>
          </w:p>
        </w:tc>
      </w:tr>
    </w:tbl>
    <w:bookmarkEnd w:id="2"/>
    <w:p w14:paraId="22F97607" w14:textId="4FB2279F" w:rsidR="00402E62" w:rsidRPr="00402E62" w:rsidRDefault="00402E62" w:rsidP="00402E62">
      <w:pPr>
        <w:rPr>
          <w:rFonts w:cstheme="minorHAnsi"/>
          <w:sz w:val="24"/>
          <w:szCs w:val="24"/>
        </w:rPr>
      </w:pPr>
      <w:r w:rsidRPr="00402E62">
        <w:rPr>
          <w:rFonts w:cstheme="minorHAnsi"/>
          <w:sz w:val="24"/>
          <w:szCs w:val="24"/>
        </w:rPr>
        <w:tab/>
      </w:r>
    </w:p>
    <w:bookmarkEnd w:id="1"/>
    <w:p w14:paraId="45C8064B" w14:textId="2DAB0F9D" w:rsidR="00C90D73" w:rsidRPr="00C90D73" w:rsidRDefault="00031FE4" w:rsidP="00EA1D2F">
      <w:pPr>
        <w:jc w:val="both"/>
        <w:rPr>
          <w:rFonts w:cstheme="minorHAnsi"/>
          <w:sz w:val="24"/>
          <w:szCs w:val="24"/>
        </w:rPr>
      </w:pPr>
      <w:r w:rsidRPr="00671D57">
        <w:rPr>
          <w:rFonts w:cstheme="minorHAnsi"/>
          <w:b/>
          <w:bCs/>
          <w:sz w:val="24"/>
          <w:szCs w:val="24"/>
        </w:rPr>
        <w:t>Section 2.</w:t>
      </w:r>
      <w:r>
        <w:rPr>
          <w:rFonts w:cstheme="minorHAnsi"/>
          <w:sz w:val="24"/>
          <w:szCs w:val="24"/>
        </w:rPr>
        <w:t xml:space="preserve"> </w:t>
      </w:r>
      <w:r w:rsidR="00C90D73" w:rsidRPr="00135335">
        <w:rPr>
          <w:rFonts w:cstheme="minorHAnsi"/>
          <w:sz w:val="24"/>
          <w:szCs w:val="24"/>
        </w:rPr>
        <w:t xml:space="preserve">That Chapter 74, Zoning, of the Code of Ordinances of the City of Senoia, Georgia, is hereby amended in Sec. 74-99, Table 6.4 Permitted Uses, by striking the Permitted Use </w:t>
      </w:r>
      <w:r w:rsidR="002756B5" w:rsidRPr="00135335">
        <w:rPr>
          <w:rFonts w:cstheme="minorHAnsi"/>
          <w:sz w:val="24"/>
          <w:szCs w:val="24"/>
        </w:rPr>
        <w:t xml:space="preserve">“Convenience Stores with Fuel Pump Service” </w:t>
      </w:r>
      <w:r w:rsidR="00C90D73" w:rsidRPr="00135335">
        <w:rPr>
          <w:rFonts w:cstheme="minorHAnsi"/>
          <w:sz w:val="24"/>
          <w:szCs w:val="24"/>
        </w:rPr>
        <w:t xml:space="preserve">and Conditional Use requirement </w:t>
      </w:r>
      <w:r w:rsidR="002756B5" w:rsidRPr="00135335">
        <w:rPr>
          <w:rFonts w:cstheme="minorHAnsi"/>
          <w:sz w:val="24"/>
          <w:szCs w:val="24"/>
        </w:rPr>
        <w:t>“Provided that all fuel pumps shall be at least 15 feet from the street right-of-way</w:t>
      </w:r>
      <w:r w:rsidR="00C90D73" w:rsidRPr="00135335">
        <w:rPr>
          <w:rFonts w:cstheme="minorHAnsi"/>
          <w:sz w:val="24"/>
          <w:szCs w:val="24"/>
        </w:rPr>
        <w:t>” in its entirety</w:t>
      </w:r>
      <w:r w:rsidR="002756B5" w:rsidRPr="00135335">
        <w:rPr>
          <w:rFonts w:cstheme="minorHAnsi"/>
          <w:sz w:val="24"/>
          <w:szCs w:val="24"/>
        </w:rPr>
        <w:t>.</w:t>
      </w:r>
    </w:p>
    <w:p w14:paraId="1F4800E3" w14:textId="229D6466" w:rsidR="0072134D" w:rsidRPr="00881E6E" w:rsidRDefault="00A007C1" w:rsidP="00EA1D2F">
      <w:pPr>
        <w:jc w:val="both"/>
        <w:rPr>
          <w:rFonts w:cstheme="minorHAnsi"/>
          <w:sz w:val="24"/>
          <w:szCs w:val="24"/>
        </w:rPr>
      </w:pPr>
      <w:r w:rsidRPr="00881E6E">
        <w:rPr>
          <w:rFonts w:cstheme="minorHAnsi"/>
          <w:b/>
          <w:bCs/>
          <w:sz w:val="24"/>
          <w:szCs w:val="24"/>
        </w:rPr>
        <w:t xml:space="preserve">Section </w:t>
      </w:r>
      <w:r w:rsidR="00C90D73">
        <w:rPr>
          <w:rFonts w:cstheme="minorHAnsi"/>
          <w:b/>
          <w:bCs/>
          <w:sz w:val="24"/>
          <w:szCs w:val="24"/>
        </w:rPr>
        <w:t>3</w:t>
      </w:r>
      <w:r w:rsidRPr="00881E6E">
        <w:rPr>
          <w:rFonts w:cstheme="minorHAnsi"/>
          <w:b/>
          <w:bCs/>
          <w:sz w:val="24"/>
          <w:szCs w:val="24"/>
        </w:rPr>
        <w:t>.</w:t>
      </w:r>
      <w:r w:rsidRPr="00881E6E">
        <w:rPr>
          <w:rFonts w:cstheme="minorHAnsi"/>
          <w:sz w:val="24"/>
          <w:szCs w:val="24"/>
        </w:rPr>
        <w:t xml:space="preserve"> That Chapter 74, Zoning, of the Code of Ordinances of the City of Senoia, Georgia, as amended, is hereby further amended to include Sec. 74-100, to be read as follows:</w:t>
      </w:r>
    </w:p>
    <w:p w14:paraId="380E5CC7" w14:textId="49A9B4AB" w:rsidR="00925E78" w:rsidRPr="00881E6E" w:rsidRDefault="00F25B09" w:rsidP="00EA1D2F">
      <w:pPr>
        <w:jc w:val="both"/>
        <w:rPr>
          <w:rFonts w:cstheme="minorHAnsi"/>
          <w:sz w:val="24"/>
          <w:szCs w:val="24"/>
        </w:rPr>
      </w:pPr>
      <w:r w:rsidRPr="00881E6E">
        <w:rPr>
          <w:rFonts w:cstheme="minorHAnsi"/>
          <w:sz w:val="24"/>
          <w:szCs w:val="24"/>
        </w:rPr>
        <w:t xml:space="preserve">Definition. </w:t>
      </w:r>
      <w:r w:rsidR="003061BE" w:rsidRPr="00881E6E">
        <w:rPr>
          <w:rFonts w:cstheme="minorHAnsi"/>
          <w:sz w:val="24"/>
          <w:szCs w:val="24"/>
        </w:rPr>
        <w:t xml:space="preserve">A “gasoline service station” means a building, lot, structure, or facility having pumps and storage tanks where fuel, gasoline, oil or other similar products are dispensed, sold or offered for sale at retail only; </w:t>
      </w:r>
      <w:r w:rsidR="0037721D" w:rsidRPr="00881E6E">
        <w:rPr>
          <w:rFonts w:cstheme="minorHAnsi"/>
          <w:sz w:val="24"/>
          <w:szCs w:val="24"/>
        </w:rPr>
        <w:t xml:space="preserve">auto </w:t>
      </w:r>
      <w:r w:rsidR="003061BE" w:rsidRPr="00881E6E">
        <w:rPr>
          <w:rFonts w:cstheme="minorHAnsi"/>
          <w:sz w:val="24"/>
          <w:szCs w:val="24"/>
        </w:rPr>
        <w:t>service is minor and incidental and shall include accessory uses such as car washes</w:t>
      </w:r>
      <w:r w:rsidR="00C90D73">
        <w:rPr>
          <w:rFonts w:cstheme="minorHAnsi"/>
          <w:sz w:val="24"/>
          <w:szCs w:val="24"/>
        </w:rPr>
        <w:t>,</w:t>
      </w:r>
      <w:r w:rsidR="003061BE" w:rsidRPr="00881E6E">
        <w:rPr>
          <w:rFonts w:cstheme="minorHAnsi"/>
          <w:sz w:val="24"/>
          <w:szCs w:val="24"/>
        </w:rPr>
        <w:t xml:space="preserve"> food marts</w:t>
      </w:r>
      <w:r w:rsidR="00F97004" w:rsidRPr="00135335">
        <w:rPr>
          <w:rFonts w:cstheme="minorHAnsi"/>
          <w:sz w:val="24"/>
          <w:szCs w:val="24"/>
        </w:rPr>
        <w:t xml:space="preserve">, </w:t>
      </w:r>
      <w:r w:rsidR="00C90D73" w:rsidRPr="00135335">
        <w:rPr>
          <w:rFonts w:cstheme="minorHAnsi"/>
          <w:sz w:val="24"/>
          <w:szCs w:val="24"/>
        </w:rPr>
        <w:t>convenience stores</w:t>
      </w:r>
      <w:r w:rsidR="00F97004" w:rsidRPr="00135335">
        <w:rPr>
          <w:rFonts w:cstheme="minorHAnsi"/>
          <w:sz w:val="24"/>
          <w:szCs w:val="24"/>
        </w:rPr>
        <w:t xml:space="preserve"> and fast food restaurants.</w:t>
      </w:r>
      <w:r w:rsidR="00925E78" w:rsidRPr="00881E6E">
        <w:rPr>
          <w:rFonts w:cstheme="minorHAnsi"/>
          <w:sz w:val="24"/>
          <w:szCs w:val="24"/>
        </w:rPr>
        <w:t xml:space="preserve"> </w:t>
      </w:r>
    </w:p>
    <w:p w14:paraId="0BC26A5A" w14:textId="0FC4638E" w:rsidR="00674A3E" w:rsidRDefault="004806EE" w:rsidP="00EA1D2F">
      <w:pPr>
        <w:pStyle w:val="ListParagraph"/>
        <w:numPr>
          <w:ilvl w:val="0"/>
          <w:numId w:val="9"/>
        </w:numPr>
        <w:spacing w:after="0"/>
        <w:jc w:val="both"/>
        <w:rPr>
          <w:rFonts w:cstheme="minorHAnsi"/>
          <w:sz w:val="24"/>
          <w:szCs w:val="24"/>
        </w:rPr>
      </w:pPr>
      <w:r w:rsidRPr="00881E6E">
        <w:rPr>
          <w:rFonts w:cstheme="minorHAnsi"/>
          <w:sz w:val="24"/>
          <w:szCs w:val="24"/>
        </w:rPr>
        <w:t xml:space="preserve">Code Compliance. All gasoline service stations shall be in conformance </w:t>
      </w:r>
      <w:r w:rsidR="00592DF4">
        <w:rPr>
          <w:rFonts w:cstheme="minorHAnsi"/>
          <w:sz w:val="24"/>
          <w:szCs w:val="24"/>
        </w:rPr>
        <w:t>with all City ordinances, state, and federal laws and regulations.</w:t>
      </w:r>
    </w:p>
    <w:p w14:paraId="7C2C0B16" w14:textId="77777777" w:rsidR="00592DF4" w:rsidRPr="00881E6E" w:rsidRDefault="00592DF4" w:rsidP="00EA1D2F">
      <w:pPr>
        <w:pStyle w:val="ListParagraph"/>
        <w:spacing w:after="0"/>
        <w:ind w:left="1080"/>
        <w:jc w:val="both"/>
        <w:rPr>
          <w:rFonts w:cstheme="minorHAnsi"/>
          <w:sz w:val="24"/>
          <w:szCs w:val="24"/>
        </w:rPr>
      </w:pPr>
    </w:p>
    <w:p w14:paraId="3C76BB9D" w14:textId="32A58B44" w:rsidR="00674A3E" w:rsidRPr="00881E6E" w:rsidRDefault="00674A3E" w:rsidP="00EA1D2F">
      <w:pPr>
        <w:pStyle w:val="ListParagraph"/>
        <w:numPr>
          <w:ilvl w:val="0"/>
          <w:numId w:val="9"/>
        </w:numPr>
        <w:spacing w:after="0"/>
        <w:jc w:val="both"/>
        <w:rPr>
          <w:rFonts w:cstheme="minorHAnsi"/>
          <w:sz w:val="24"/>
          <w:szCs w:val="24"/>
        </w:rPr>
      </w:pPr>
      <w:r w:rsidRPr="00881E6E">
        <w:rPr>
          <w:rFonts w:cstheme="minorHAnsi"/>
          <w:sz w:val="24"/>
          <w:szCs w:val="24"/>
        </w:rPr>
        <w:t>Traffic Study. A traffic impact analysis will be required whenever a gasoline station meets one or more</w:t>
      </w:r>
      <w:r w:rsidR="004806EE" w:rsidRPr="00881E6E">
        <w:rPr>
          <w:rFonts w:cstheme="minorHAnsi"/>
          <w:sz w:val="24"/>
          <w:szCs w:val="24"/>
        </w:rPr>
        <w:t xml:space="preserve"> </w:t>
      </w:r>
      <w:r w:rsidRPr="00881E6E">
        <w:rPr>
          <w:rFonts w:cstheme="minorHAnsi"/>
          <w:sz w:val="24"/>
          <w:szCs w:val="24"/>
        </w:rPr>
        <w:t>of the following conditions:</w:t>
      </w:r>
    </w:p>
    <w:p w14:paraId="020D0BA6" w14:textId="2474D0A8" w:rsidR="00674A3E" w:rsidRPr="00881E6E" w:rsidRDefault="00674A3E" w:rsidP="00EA1D2F">
      <w:pPr>
        <w:pStyle w:val="ListParagraph"/>
        <w:numPr>
          <w:ilvl w:val="0"/>
          <w:numId w:val="10"/>
        </w:numPr>
        <w:spacing w:after="0"/>
        <w:jc w:val="both"/>
        <w:rPr>
          <w:rFonts w:cstheme="minorHAnsi"/>
          <w:sz w:val="24"/>
          <w:szCs w:val="24"/>
        </w:rPr>
      </w:pPr>
      <w:r w:rsidRPr="00881E6E">
        <w:rPr>
          <w:rFonts w:cstheme="minorHAnsi"/>
          <w:sz w:val="24"/>
          <w:szCs w:val="24"/>
        </w:rPr>
        <w:t>A new gasoline service station is proposed;</w:t>
      </w:r>
    </w:p>
    <w:p w14:paraId="7D95791D" w14:textId="620DC4FB" w:rsidR="00674A3E" w:rsidRPr="00881E6E" w:rsidRDefault="00674A3E" w:rsidP="00EA1D2F">
      <w:pPr>
        <w:pStyle w:val="ListParagraph"/>
        <w:numPr>
          <w:ilvl w:val="0"/>
          <w:numId w:val="10"/>
        </w:numPr>
        <w:spacing w:after="0"/>
        <w:jc w:val="both"/>
        <w:rPr>
          <w:rFonts w:cstheme="minorHAnsi"/>
          <w:sz w:val="24"/>
          <w:szCs w:val="24"/>
        </w:rPr>
      </w:pPr>
      <w:r w:rsidRPr="00881E6E">
        <w:rPr>
          <w:rFonts w:cstheme="minorHAnsi"/>
          <w:sz w:val="24"/>
          <w:szCs w:val="24"/>
        </w:rPr>
        <w:t>An existing gasoline service station increases pumping capacity through the addition of hoses</w:t>
      </w:r>
      <w:r w:rsidR="007C35B8" w:rsidRPr="00881E6E">
        <w:rPr>
          <w:rFonts w:cstheme="minorHAnsi"/>
          <w:sz w:val="24"/>
          <w:szCs w:val="24"/>
        </w:rPr>
        <w:t xml:space="preserve"> </w:t>
      </w:r>
      <w:r w:rsidRPr="00881E6E">
        <w:rPr>
          <w:rFonts w:cstheme="minorHAnsi"/>
          <w:sz w:val="24"/>
          <w:szCs w:val="24"/>
        </w:rPr>
        <w:t>and/or</w:t>
      </w:r>
      <w:r w:rsidR="004806EE" w:rsidRPr="00881E6E">
        <w:rPr>
          <w:rFonts w:cstheme="minorHAnsi"/>
          <w:sz w:val="24"/>
          <w:szCs w:val="24"/>
        </w:rPr>
        <w:t xml:space="preserve"> </w:t>
      </w:r>
      <w:r w:rsidRPr="00881E6E">
        <w:rPr>
          <w:rFonts w:cstheme="minorHAnsi"/>
          <w:sz w:val="24"/>
          <w:szCs w:val="24"/>
        </w:rPr>
        <w:t>pumps;</w:t>
      </w:r>
    </w:p>
    <w:p w14:paraId="42D357A1" w14:textId="4F962B95" w:rsidR="00674A3E" w:rsidRPr="00881E6E" w:rsidRDefault="00674A3E" w:rsidP="00EA1D2F">
      <w:pPr>
        <w:pStyle w:val="ListParagraph"/>
        <w:numPr>
          <w:ilvl w:val="0"/>
          <w:numId w:val="10"/>
        </w:numPr>
        <w:spacing w:after="0"/>
        <w:jc w:val="both"/>
        <w:rPr>
          <w:rFonts w:cstheme="minorHAnsi"/>
          <w:sz w:val="24"/>
          <w:szCs w:val="24"/>
        </w:rPr>
      </w:pPr>
      <w:r w:rsidRPr="00881E6E">
        <w:rPr>
          <w:rFonts w:cstheme="minorHAnsi"/>
          <w:sz w:val="24"/>
          <w:szCs w:val="24"/>
        </w:rPr>
        <w:lastRenderedPageBreak/>
        <w:t>The site of an existing gasoline service station is expanded in size or reconfigured to allow such expansion;</w:t>
      </w:r>
      <w:r w:rsidR="00881E6E">
        <w:rPr>
          <w:rFonts w:cstheme="minorHAnsi"/>
          <w:sz w:val="24"/>
          <w:szCs w:val="24"/>
        </w:rPr>
        <w:t xml:space="preserve"> </w:t>
      </w:r>
    </w:p>
    <w:p w14:paraId="5F1EAE8B" w14:textId="4BB49F44" w:rsidR="00674A3E" w:rsidRPr="00881E6E" w:rsidRDefault="00674A3E" w:rsidP="00EA1D2F">
      <w:pPr>
        <w:pStyle w:val="ListParagraph"/>
        <w:numPr>
          <w:ilvl w:val="0"/>
          <w:numId w:val="10"/>
        </w:numPr>
        <w:spacing w:after="0"/>
        <w:jc w:val="both"/>
        <w:rPr>
          <w:rFonts w:cstheme="minorHAnsi"/>
          <w:sz w:val="24"/>
          <w:szCs w:val="24"/>
        </w:rPr>
      </w:pPr>
      <w:r w:rsidRPr="00881E6E">
        <w:rPr>
          <w:rFonts w:cstheme="minorHAnsi"/>
          <w:sz w:val="24"/>
          <w:szCs w:val="24"/>
        </w:rPr>
        <w:t>Existing ingress or egress to a gasoline service station is modified;</w:t>
      </w:r>
      <w:r w:rsidR="00881E6E">
        <w:rPr>
          <w:rFonts w:cstheme="minorHAnsi"/>
          <w:sz w:val="24"/>
          <w:szCs w:val="24"/>
        </w:rPr>
        <w:t xml:space="preserve"> and</w:t>
      </w:r>
    </w:p>
    <w:p w14:paraId="371B054E" w14:textId="32C1CD47" w:rsidR="00674A3E" w:rsidRPr="00881E6E" w:rsidRDefault="00674A3E" w:rsidP="00EA1D2F">
      <w:pPr>
        <w:pStyle w:val="ListParagraph"/>
        <w:numPr>
          <w:ilvl w:val="0"/>
          <w:numId w:val="10"/>
        </w:numPr>
        <w:spacing w:after="0"/>
        <w:jc w:val="both"/>
        <w:rPr>
          <w:rFonts w:cstheme="minorHAnsi"/>
          <w:sz w:val="24"/>
          <w:szCs w:val="24"/>
        </w:rPr>
      </w:pPr>
      <w:r w:rsidRPr="00881E6E">
        <w:rPr>
          <w:rFonts w:cstheme="minorHAnsi"/>
          <w:sz w:val="24"/>
          <w:szCs w:val="24"/>
        </w:rPr>
        <w:t xml:space="preserve">An existing </w:t>
      </w:r>
      <w:r w:rsidR="00592DF4">
        <w:rPr>
          <w:rFonts w:cstheme="minorHAnsi"/>
          <w:sz w:val="24"/>
          <w:szCs w:val="24"/>
        </w:rPr>
        <w:t xml:space="preserve">gasoline </w:t>
      </w:r>
      <w:r w:rsidRPr="00881E6E">
        <w:rPr>
          <w:rFonts w:cstheme="minorHAnsi"/>
          <w:sz w:val="24"/>
          <w:szCs w:val="24"/>
        </w:rPr>
        <w:t>service station is reopened for business after a closure of six months or more.</w:t>
      </w:r>
    </w:p>
    <w:p w14:paraId="22A75003" w14:textId="77777777" w:rsidR="00674A3E" w:rsidRPr="00881E6E" w:rsidRDefault="00674A3E" w:rsidP="00EA1D2F">
      <w:pPr>
        <w:spacing w:after="0"/>
        <w:ind w:left="720" w:hanging="720"/>
        <w:jc w:val="both"/>
        <w:rPr>
          <w:rFonts w:cstheme="minorHAnsi"/>
          <w:sz w:val="24"/>
          <w:szCs w:val="24"/>
        </w:rPr>
      </w:pPr>
    </w:p>
    <w:p w14:paraId="5976B216" w14:textId="77777777" w:rsidR="007C35B8" w:rsidRPr="00881E6E" w:rsidRDefault="00674A3E" w:rsidP="00EA1D2F">
      <w:pPr>
        <w:pStyle w:val="ListParagraph"/>
        <w:numPr>
          <w:ilvl w:val="0"/>
          <w:numId w:val="9"/>
        </w:numPr>
        <w:spacing w:after="0"/>
        <w:jc w:val="both"/>
        <w:rPr>
          <w:rFonts w:cstheme="minorHAnsi"/>
          <w:sz w:val="24"/>
          <w:szCs w:val="24"/>
        </w:rPr>
      </w:pPr>
      <w:r w:rsidRPr="00881E6E">
        <w:rPr>
          <w:rFonts w:cstheme="minorHAnsi"/>
          <w:sz w:val="24"/>
          <w:szCs w:val="24"/>
        </w:rPr>
        <w:t>The traffic impact analysis shall contain, at a minimum, the following information:</w:t>
      </w:r>
      <w:r w:rsidR="007C35B8" w:rsidRPr="00881E6E">
        <w:rPr>
          <w:rFonts w:cstheme="minorHAnsi"/>
          <w:sz w:val="24"/>
          <w:szCs w:val="24"/>
        </w:rPr>
        <w:t xml:space="preserve"> </w:t>
      </w:r>
    </w:p>
    <w:p w14:paraId="02F8DD75" w14:textId="77777777" w:rsidR="007C35B8" w:rsidRPr="00881E6E" w:rsidRDefault="007C35B8" w:rsidP="00EA1D2F">
      <w:pPr>
        <w:pStyle w:val="ListParagraph"/>
        <w:spacing w:after="0"/>
        <w:ind w:left="1080"/>
        <w:jc w:val="both"/>
        <w:rPr>
          <w:rFonts w:cstheme="minorHAnsi"/>
          <w:sz w:val="24"/>
          <w:szCs w:val="24"/>
        </w:rPr>
      </w:pPr>
    </w:p>
    <w:p w14:paraId="7997DC1D" w14:textId="32167EC2" w:rsidR="007C35B8" w:rsidRPr="00881E6E" w:rsidRDefault="00674A3E" w:rsidP="00EA1D2F">
      <w:pPr>
        <w:pStyle w:val="ListParagraph"/>
        <w:numPr>
          <w:ilvl w:val="0"/>
          <w:numId w:val="15"/>
        </w:numPr>
        <w:spacing w:after="0"/>
        <w:jc w:val="both"/>
        <w:rPr>
          <w:rFonts w:cstheme="minorHAnsi"/>
          <w:sz w:val="24"/>
          <w:szCs w:val="24"/>
        </w:rPr>
      </w:pPr>
      <w:r w:rsidRPr="00881E6E">
        <w:rPr>
          <w:rFonts w:cstheme="minorHAnsi"/>
          <w:sz w:val="24"/>
          <w:szCs w:val="24"/>
        </w:rPr>
        <w:t xml:space="preserve">Analyze future or horizon year </w:t>
      </w:r>
      <w:r w:rsidR="007F0DBE" w:rsidRPr="00881E6E">
        <w:rPr>
          <w:rFonts w:cstheme="minorHAnsi"/>
          <w:sz w:val="24"/>
          <w:szCs w:val="24"/>
        </w:rPr>
        <w:t>(20 years from open)</w:t>
      </w:r>
      <w:r w:rsidRPr="00881E6E">
        <w:rPr>
          <w:rFonts w:cstheme="minorHAnsi"/>
          <w:sz w:val="24"/>
          <w:szCs w:val="24"/>
        </w:rPr>
        <w:t xml:space="preserve"> level of service (LOS) conditions with and without project;</w:t>
      </w:r>
      <w:r w:rsidR="007C35B8" w:rsidRPr="00881E6E">
        <w:rPr>
          <w:rFonts w:cstheme="minorHAnsi"/>
          <w:sz w:val="24"/>
          <w:szCs w:val="24"/>
        </w:rPr>
        <w:t xml:space="preserve"> </w:t>
      </w:r>
    </w:p>
    <w:p w14:paraId="2B1529E7" w14:textId="6FB35085" w:rsidR="007C35B8" w:rsidRPr="00881E6E" w:rsidRDefault="00674A3E" w:rsidP="00EA1D2F">
      <w:pPr>
        <w:pStyle w:val="ListParagraph"/>
        <w:numPr>
          <w:ilvl w:val="0"/>
          <w:numId w:val="15"/>
        </w:numPr>
        <w:spacing w:after="0"/>
        <w:jc w:val="both"/>
        <w:rPr>
          <w:rFonts w:cstheme="minorHAnsi"/>
          <w:sz w:val="24"/>
          <w:szCs w:val="24"/>
        </w:rPr>
      </w:pPr>
      <w:r w:rsidRPr="00881E6E">
        <w:rPr>
          <w:rFonts w:cstheme="minorHAnsi"/>
          <w:sz w:val="24"/>
          <w:szCs w:val="24"/>
        </w:rPr>
        <w:t>Analyze proposed driveway level of service for proposed projects; check sight distance;</w:t>
      </w:r>
    </w:p>
    <w:p w14:paraId="65CC53D9" w14:textId="62A481C8" w:rsidR="00674A3E" w:rsidRPr="00881E6E" w:rsidRDefault="00674A3E" w:rsidP="00EA1D2F">
      <w:pPr>
        <w:pStyle w:val="ListParagraph"/>
        <w:numPr>
          <w:ilvl w:val="0"/>
          <w:numId w:val="15"/>
        </w:numPr>
        <w:spacing w:after="0"/>
        <w:jc w:val="both"/>
        <w:rPr>
          <w:rFonts w:cstheme="minorHAnsi"/>
          <w:sz w:val="24"/>
          <w:szCs w:val="24"/>
        </w:rPr>
      </w:pPr>
      <w:r w:rsidRPr="00881E6E">
        <w:rPr>
          <w:rFonts w:cstheme="minorHAnsi"/>
          <w:sz w:val="24"/>
          <w:szCs w:val="24"/>
        </w:rPr>
        <w:t>Evaluate potential queuing problems or parking problems;</w:t>
      </w:r>
    </w:p>
    <w:p w14:paraId="6BAE591E" w14:textId="0B5F6063" w:rsidR="00674A3E" w:rsidRPr="00881E6E" w:rsidRDefault="00674A3E" w:rsidP="00EA1D2F">
      <w:pPr>
        <w:pStyle w:val="ListParagraph"/>
        <w:numPr>
          <w:ilvl w:val="0"/>
          <w:numId w:val="15"/>
        </w:numPr>
        <w:spacing w:after="0"/>
        <w:jc w:val="both"/>
        <w:rPr>
          <w:rFonts w:cstheme="minorHAnsi"/>
          <w:sz w:val="24"/>
          <w:szCs w:val="24"/>
        </w:rPr>
      </w:pPr>
      <w:r w:rsidRPr="00881E6E">
        <w:rPr>
          <w:rFonts w:cstheme="minorHAnsi"/>
          <w:sz w:val="24"/>
          <w:szCs w:val="24"/>
        </w:rPr>
        <w:t>Determine percentage of project traffic to total future traffic (used in cost allocation analysis if necessary);</w:t>
      </w:r>
      <w:r w:rsidR="004809DE">
        <w:rPr>
          <w:rFonts w:cstheme="minorHAnsi"/>
          <w:sz w:val="24"/>
          <w:szCs w:val="24"/>
        </w:rPr>
        <w:t xml:space="preserve"> and</w:t>
      </w:r>
    </w:p>
    <w:p w14:paraId="0323902D" w14:textId="49FE36EB" w:rsidR="007C35B8" w:rsidRPr="00881E6E" w:rsidRDefault="00674A3E" w:rsidP="00EA1D2F">
      <w:pPr>
        <w:pStyle w:val="ListParagraph"/>
        <w:numPr>
          <w:ilvl w:val="0"/>
          <w:numId w:val="15"/>
        </w:numPr>
        <w:spacing w:after="0"/>
        <w:jc w:val="both"/>
        <w:rPr>
          <w:rFonts w:cstheme="minorHAnsi"/>
          <w:sz w:val="24"/>
          <w:szCs w:val="24"/>
        </w:rPr>
      </w:pPr>
      <w:r w:rsidRPr="00881E6E">
        <w:rPr>
          <w:rFonts w:cstheme="minorHAnsi"/>
          <w:sz w:val="24"/>
          <w:szCs w:val="24"/>
        </w:rPr>
        <w:t>Signal warrant analysis if appropriate.</w:t>
      </w:r>
    </w:p>
    <w:p w14:paraId="388DC431" w14:textId="77777777" w:rsidR="007C35B8" w:rsidRPr="00881E6E" w:rsidRDefault="007C35B8" w:rsidP="00EA1D2F">
      <w:pPr>
        <w:pStyle w:val="ListParagraph"/>
        <w:spacing w:after="0"/>
        <w:ind w:left="1800"/>
        <w:jc w:val="both"/>
        <w:rPr>
          <w:rFonts w:cstheme="minorHAnsi"/>
          <w:sz w:val="24"/>
          <w:szCs w:val="24"/>
        </w:rPr>
      </w:pPr>
    </w:p>
    <w:p w14:paraId="5F80007F" w14:textId="77777777" w:rsidR="00EB6574" w:rsidRPr="00881E6E" w:rsidRDefault="00674A3E" w:rsidP="00EA1D2F">
      <w:pPr>
        <w:pStyle w:val="ListParagraph"/>
        <w:numPr>
          <w:ilvl w:val="0"/>
          <w:numId w:val="9"/>
        </w:numPr>
        <w:spacing w:after="0"/>
        <w:jc w:val="both"/>
        <w:rPr>
          <w:rFonts w:cstheme="minorHAnsi"/>
          <w:sz w:val="24"/>
          <w:szCs w:val="24"/>
        </w:rPr>
      </w:pPr>
      <w:r w:rsidRPr="00881E6E">
        <w:rPr>
          <w:rFonts w:cstheme="minorHAnsi"/>
          <w:sz w:val="24"/>
          <w:szCs w:val="24"/>
        </w:rPr>
        <w:t>Development Standards. Development standards and criteria of the zoning district/subzone shall apply unless otherwise noted in this section.</w:t>
      </w:r>
      <w:r w:rsidR="003061BE" w:rsidRPr="00881E6E">
        <w:rPr>
          <w:rFonts w:cstheme="minorHAnsi"/>
          <w:sz w:val="24"/>
          <w:szCs w:val="24"/>
        </w:rPr>
        <w:t xml:space="preserve"> </w:t>
      </w:r>
    </w:p>
    <w:p w14:paraId="2D64FD37" w14:textId="77777777" w:rsidR="00EB6574" w:rsidRPr="00881E6E" w:rsidRDefault="00EB6574" w:rsidP="00EA1D2F">
      <w:pPr>
        <w:pStyle w:val="ListParagraph"/>
        <w:spacing w:after="0"/>
        <w:ind w:left="1080"/>
        <w:jc w:val="both"/>
        <w:rPr>
          <w:rFonts w:cstheme="minorHAnsi"/>
          <w:sz w:val="24"/>
          <w:szCs w:val="24"/>
        </w:rPr>
      </w:pPr>
    </w:p>
    <w:p w14:paraId="6FFDD787" w14:textId="622AB7EC" w:rsidR="00674A3E" w:rsidRPr="00881E6E" w:rsidRDefault="003061BE" w:rsidP="00EA1D2F">
      <w:pPr>
        <w:pStyle w:val="ListParagraph"/>
        <w:spacing w:after="0"/>
        <w:ind w:left="1080"/>
        <w:jc w:val="both"/>
        <w:rPr>
          <w:rFonts w:cstheme="minorHAnsi"/>
          <w:sz w:val="24"/>
          <w:szCs w:val="24"/>
        </w:rPr>
      </w:pPr>
      <w:r w:rsidRPr="00881E6E">
        <w:rPr>
          <w:rFonts w:cstheme="minorHAnsi"/>
          <w:sz w:val="24"/>
          <w:szCs w:val="24"/>
        </w:rPr>
        <w:t xml:space="preserve">Location criteria – Fuel pumps associated with </w:t>
      </w:r>
      <w:r w:rsidR="00592DF4">
        <w:rPr>
          <w:rFonts w:cstheme="minorHAnsi"/>
          <w:sz w:val="24"/>
          <w:szCs w:val="24"/>
        </w:rPr>
        <w:t>gasoline service stations shall not exceed 12 fuel pumps on any parcel of land and must further meet the following:</w:t>
      </w:r>
    </w:p>
    <w:p w14:paraId="09FA0277" w14:textId="77777777" w:rsidR="00EB6574" w:rsidRPr="00881E6E" w:rsidRDefault="00EB6574" w:rsidP="00EA1D2F">
      <w:pPr>
        <w:pStyle w:val="ListParagraph"/>
        <w:spacing w:after="0"/>
        <w:ind w:left="1080"/>
        <w:jc w:val="both"/>
        <w:rPr>
          <w:rFonts w:cstheme="minorHAnsi"/>
          <w:sz w:val="24"/>
          <w:szCs w:val="24"/>
        </w:rPr>
      </w:pPr>
    </w:p>
    <w:p w14:paraId="1FA0D280" w14:textId="54DE1411" w:rsidR="00674A3E" w:rsidRPr="00881E6E" w:rsidRDefault="00592DF4" w:rsidP="00EA1D2F">
      <w:pPr>
        <w:pStyle w:val="ListParagraph"/>
        <w:numPr>
          <w:ilvl w:val="0"/>
          <w:numId w:val="18"/>
        </w:numPr>
        <w:spacing w:after="0"/>
        <w:jc w:val="both"/>
        <w:rPr>
          <w:rFonts w:cstheme="minorHAnsi"/>
          <w:sz w:val="24"/>
          <w:szCs w:val="24"/>
        </w:rPr>
      </w:pPr>
      <w:r>
        <w:rPr>
          <w:rFonts w:cstheme="minorHAnsi"/>
          <w:sz w:val="24"/>
          <w:szCs w:val="24"/>
        </w:rPr>
        <w:t>Gasoline service station</w:t>
      </w:r>
      <w:r w:rsidR="007B7E91" w:rsidRPr="00881E6E">
        <w:rPr>
          <w:rFonts w:cstheme="minorHAnsi"/>
          <w:sz w:val="24"/>
          <w:szCs w:val="24"/>
        </w:rPr>
        <w:t xml:space="preserve"> must be located within 100 feet of an intersection of a major arterial street and a major or minor arterial street.</w:t>
      </w:r>
    </w:p>
    <w:p w14:paraId="0C35EFE9" w14:textId="75D2EC12" w:rsidR="007B7E91" w:rsidRPr="00881E6E" w:rsidRDefault="007B7E91" w:rsidP="00EA1D2F">
      <w:pPr>
        <w:pStyle w:val="ListParagraph"/>
        <w:numPr>
          <w:ilvl w:val="0"/>
          <w:numId w:val="18"/>
        </w:numPr>
        <w:spacing w:after="0"/>
        <w:jc w:val="both"/>
        <w:rPr>
          <w:rFonts w:cstheme="minorHAnsi"/>
          <w:sz w:val="24"/>
          <w:szCs w:val="24"/>
        </w:rPr>
      </w:pPr>
      <w:r w:rsidRPr="00881E6E">
        <w:rPr>
          <w:rFonts w:cstheme="minorHAnsi"/>
          <w:sz w:val="24"/>
          <w:szCs w:val="24"/>
        </w:rPr>
        <w:t xml:space="preserve">Except for facilities located at the same roadway intersection, </w:t>
      </w:r>
      <w:r w:rsidR="00592DF4">
        <w:rPr>
          <w:rFonts w:cstheme="minorHAnsi"/>
          <w:sz w:val="24"/>
          <w:szCs w:val="24"/>
        </w:rPr>
        <w:t>gasoline service station</w:t>
      </w:r>
      <w:r w:rsidRPr="00881E6E">
        <w:rPr>
          <w:rFonts w:cstheme="minorHAnsi"/>
          <w:sz w:val="24"/>
          <w:szCs w:val="24"/>
        </w:rPr>
        <w:t xml:space="preserve"> must maintain a minimal distance of 1500 ft apart.</w:t>
      </w:r>
      <w:r w:rsidRPr="00881E6E">
        <w:rPr>
          <w:rFonts w:cstheme="minorHAnsi"/>
          <w:sz w:val="24"/>
          <w:szCs w:val="24"/>
        </w:rPr>
        <w:tab/>
      </w:r>
    </w:p>
    <w:p w14:paraId="7392386A" w14:textId="12412981" w:rsidR="00674A3E" w:rsidRPr="00881E6E" w:rsidRDefault="007B7E91" w:rsidP="00EA1D2F">
      <w:pPr>
        <w:pStyle w:val="ListParagraph"/>
        <w:numPr>
          <w:ilvl w:val="0"/>
          <w:numId w:val="18"/>
        </w:numPr>
        <w:spacing w:after="0"/>
        <w:jc w:val="both"/>
        <w:rPr>
          <w:rFonts w:cstheme="minorHAnsi"/>
          <w:sz w:val="24"/>
          <w:szCs w:val="24"/>
        </w:rPr>
      </w:pPr>
      <w:r w:rsidRPr="00881E6E">
        <w:rPr>
          <w:rFonts w:cstheme="minorHAnsi"/>
          <w:sz w:val="24"/>
          <w:szCs w:val="24"/>
        </w:rPr>
        <w:t xml:space="preserve">No more than two </w:t>
      </w:r>
      <w:r w:rsidR="00592DF4">
        <w:rPr>
          <w:rFonts w:cstheme="minorHAnsi"/>
          <w:sz w:val="24"/>
          <w:szCs w:val="24"/>
        </w:rPr>
        <w:t xml:space="preserve">(2) gasoline service stations </w:t>
      </w:r>
      <w:r w:rsidRPr="00881E6E">
        <w:rPr>
          <w:rFonts w:cstheme="minorHAnsi"/>
          <w:sz w:val="24"/>
          <w:szCs w:val="24"/>
        </w:rPr>
        <w:t xml:space="preserve"> may be located at any given intersection.</w:t>
      </w:r>
    </w:p>
    <w:p w14:paraId="36B7311B" w14:textId="6871B8FB" w:rsidR="00674A3E" w:rsidRPr="00881E6E" w:rsidRDefault="00674A3E" w:rsidP="00EA1D2F">
      <w:pPr>
        <w:pStyle w:val="ListParagraph"/>
        <w:numPr>
          <w:ilvl w:val="0"/>
          <w:numId w:val="18"/>
        </w:numPr>
        <w:spacing w:after="0"/>
        <w:jc w:val="both"/>
        <w:rPr>
          <w:rFonts w:cstheme="minorHAnsi"/>
          <w:sz w:val="24"/>
          <w:szCs w:val="24"/>
        </w:rPr>
      </w:pPr>
      <w:r w:rsidRPr="00881E6E">
        <w:rPr>
          <w:rFonts w:cstheme="minorHAnsi"/>
          <w:sz w:val="24"/>
          <w:szCs w:val="24"/>
        </w:rPr>
        <w:t>Lighting. On-site lighting shall be located</w:t>
      </w:r>
      <w:r w:rsidR="00DC3D45" w:rsidRPr="00881E6E">
        <w:rPr>
          <w:rFonts w:cstheme="minorHAnsi"/>
          <w:sz w:val="24"/>
          <w:szCs w:val="24"/>
        </w:rPr>
        <w:t>,</w:t>
      </w:r>
      <w:r w:rsidRPr="00881E6E">
        <w:rPr>
          <w:rFonts w:cstheme="minorHAnsi"/>
          <w:sz w:val="24"/>
          <w:szCs w:val="24"/>
        </w:rPr>
        <w:t xml:space="preserve"> directed, and/or shielded in a manner which reduces light glare or spill onto adjacent properties or rights-of-way. Lighting shall be designed per </w:t>
      </w:r>
      <w:r w:rsidR="007F0DBE" w:rsidRPr="00881E6E">
        <w:rPr>
          <w:rFonts w:cstheme="minorHAnsi"/>
          <w:sz w:val="24"/>
          <w:szCs w:val="24"/>
        </w:rPr>
        <w:t>City Ordinance and GDOT</w:t>
      </w:r>
      <w:r w:rsidRPr="00881E6E">
        <w:rPr>
          <w:rFonts w:cstheme="minorHAnsi"/>
          <w:sz w:val="24"/>
          <w:szCs w:val="24"/>
        </w:rPr>
        <w:t xml:space="preserve"> recommended guidelines for light level intensity.</w:t>
      </w:r>
    </w:p>
    <w:p w14:paraId="375A6FB1" w14:textId="7E7F19EC" w:rsidR="00674A3E" w:rsidRPr="00881E6E" w:rsidRDefault="00674A3E" w:rsidP="00EA1D2F">
      <w:pPr>
        <w:pStyle w:val="ListParagraph"/>
        <w:numPr>
          <w:ilvl w:val="0"/>
          <w:numId w:val="18"/>
        </w:numPr>
        <w:spacing w:after="0"/>
        <w:jc w:val="both"/>
        <w:rPr>
          <w:rFonts w:cstheme="minorHAnsi"/>
          <w:sz w:val="24"/>
          <w:szCs w:val="24"/>
        </w:rPr>
      </w:pPr>
      <w:r w:rsidRPr="00881E6E">
        <w:rPr>
          <w:rFonts w:cstheme="minorHAnsi"/>
          <w:sz w:val="24"/>
          <w:szCs w:val="24"/>
        </w:rPr>
        <w:t xml:space="preserve">Off-Street Parking. One stall per employee of the gasoline service station. For uses associated with or accessory to the gasoline service station parking requirements shall be as specified in </w:t>
      </w:r>
      <w:r w:rsidR="00620834" w:rsidRPr="00881E6E">
        <w:rPr>
          <w:rFonts w:cstheme="minorHAnsi"/>
          <w:sz w:val="24"/>
          <w:szCs w:val="24"/>
        </w:rPr>
        <w:t xml:space="preserve">Sec. 74-207. Parking. of </w:t>
      </w:r>
      <w:r w:rsidRPr="00881E6E">
        <w:rPr>
          <w:rFonts w:cstheme="minorHAnsi"/>
          <w:sz w:val="24"/>
          <w:szCs w:val="24"/>
        </w:rPr>
        <w:t>the municipal code.</w:t>
      </w:r>
    </w:p>
    <w:p w14:paraId="5A552C1B" w14:textId="4C758E47" w:rsidR="00674A3E" w:rsidRPr="00881E6E" w:rsidRDefault="00674A3E" w:rsidP="00EA1D2F">
      <w:pPr>
        <w:pStyle w:val="ListParagraph"/>
        <w:numPr>
          <w:ilvl w:val="0"/>
          <w:numId w:val="18"/>
        </w:numPr>
        <w:spacing w:after="0"/>
        <w:jc w:val="both"/>
        <w:rPr>
          <w:rFonts w:cstheme="minorHAnsi"/>
          <w:sz w:val="24"/>
          <w:szCs w:val="24"/>
        </w:rPr>
      </w:pPr>
      <w:r w:rsidRPr="00881E6E">
        <w:rPr>
          <w:rFonts w:cstheme="minorHAnsi"/>
          <w:sz w:val="24"/>
          <w:szCs w:val="24"/>
        </w:rPr>
        <w:t>Signs shall comply with applicable provisions of the city municipal code</w:t>
      </w:r>
      <w:r w:rsidR="001E2944" w:rsidRPr="00881E6E">
        <w:rPr>
          <w:rFonts w:cstheme="minorHAnsi"/>
          <w:sz w:val="24"/>
          <w:szCs w:val="24"/>
        </w:rPr>
        <w:t>.</w:t>
      </w:r>
    </w:p>
    <w:p w14:paraId="09719010" w14:textId="21318786" w:rsidR="009855E8" w:rsidRPr="00881E6E" w:rsidRDefault="009855E8" w:rsidP="00EA1D2F">
      <w:pPr>
        <w:pStyle w:val="ListParagraph"/>
        <w:numPr>
          <w:ilvl w:val="0"/>
          <w:numId w:val="18"/>
        </w:numPr>
        <w:spacing w:after="0"/>
        <w:jc w:val="both"/>
        <w:rPr>
          <w:rFonts w:cstheme="minorHAnsi"/>
          <w:sz w:val="24"/>
          <w:szCs w:val="24"/>
        </w:rPr>
      </w:pPr>
      <w:r w:rsidRPr="00881E6E">
        <w:rPr>
          <w:rFonts w:cstheme="minorHAnsi"/>
          <w:sz w:val="24"/>
          <w:szCs w:val="24"/>
        </w:rPr>
        <w:t xml:space="preserve">A minimum of two </w:t>
      </w:r>
      <w:r w:rsidR="00037484">
        <w:rPr>
          <w:rFonts w:cstheme="minorHAnsi"/>
          <w:sz w:val="24"/>
          <w:szCs w:val="24"/>
        </w:rPr>
        <w:t xml:space="preserve">(2) </w:t>
      </w:r>
      <w:r w:rsidRPr="00881E6E">
        <w:rPr>
          <w:rFonts w:cstheme="minorHAnsi"/>
          <w:sz w:val="24"/>
          <w:szCs w:val="24"/>
        </w:rPr>
        <w:t>separate public restrooms shall be provided, each capable of serving at least three persons at a time, open to the public, and compliant with the American Disabilities Act.</w:t>
      </w:r>
    </w:p>
    <w:p w14:paraId="10903AB9" w14:textId="173E2A73" w:rsidR="00674A3E" w:rsidRPr="00881E6E" w:rsidRDefault="00674A3E" w:rsidP="00EA1D2F">
      <w:pPr>
        <w:pStyle w:val="ListParagraph"/>
        <w:numPr>
          <w:ilvl w:val="0"/>
          <w:numId w:val="18"/>
        </w:numPr>
        <w:spacing w:after="0"/>
        <w:jc w:val="both"/>
        <w:rPr>
          <w:rFonts w:cstheme="minorHAnsi"/>
          <w:sz w:val="24"/>
          <w:szCs w:val="24"/>
        </w:rPr>
      </w:pPr>
      <w:r w:rsidRPr="00881E6E">
        <w:rPr>
          <w:rFonts w:cstheme="minorHAnsi"/>
          <w:sz w:val="24"/>
          <w:szCs w:val="24"/>
        </w:rPr>
        <w:lastRenderedPageBreak/>
        <w:t>A dumpster enclosure containing a dumpster shall be located strategically on the site</w:t>
      </w:r>
      <w:r w:rsidR="00592DF4">
        <w:rPr>
          <w:rFonts w:cstheme="minorHAnsi"/>
          <w:sz w:val="24"/>
          <w:szCs w:val="24"/>
        </w:rPr>
        <w:t>, so as to be screened from the public right</w:t>
      </w:r>
      <w:r w:rsidR="00252C6A">
        <w:rPr>
          <w:rFonts w:cstheme="minorHAnsi"/>
          <w:sz w:val="24"/>
          <w:szCs w:val="24"/>
        </w:rPr>
        <w:t>-of-way, and</w:t>
      </w:r>
      <w:r w:rsidRPr="00881E6E">
        <w:rPr>
          <w:rFonts w:cstheme="minorHAnsi"/>
          <w:sz w:val="24"/>
          <w:szCs w:val="24"/>
        </w:rPr>
        <w:t xml:space="preserve"> in sufficient number to reduce off-site litter.</w:t>
      </w:r>
    </w:p>
    <w:p w14:paraId="6758F2DE" w14:textId="77777777" w:rsidR="00252C6A" w:rsidRPr="00252C6A" w:rsidRDefault="00252C6A" w:rsidP="00EA1D2F">
      <w:pPr>
        <w:pStyle w:val="ListParagraph"/>
        <w:numPr>
          <w:ilvl w:val="0"/>
          <w:numId w:val="18"/>
        </w:numPr>
        <w:jc w:val="both"/>
        <w:rPr>
          <w:rFonts w:cstheme="minorHAnsi"/>
          <w:sz w:val="24"/>
          <w:szCs w:val="24"/>
        </w:rPr>
      </w:pPr>
      <w:r w:rsidRPr="00252C6A">
        <w:rPr>
          <w:rFonts w:cstheme="minorHAnsi"/>
          <w:sz w:val="24"/>
          <w:szCs w:val="24"/>
        </w:rPr>
        <w:t xml:space="preserve">Trash receptacles should be located at or near every gas pump and not less than one (1) such receptacle shall be located for every public entrance to any structure on the property. </w:t>
      </w:r>
    </w:p>
    <w:p w14:paraId="7920847B" w14:textId="0497130E" w:rsidR="00674A3E" w:rsidRPr="00881E6E" w:rsidRDefault="00674A3E" w:rsidP="00EA1D2F">
      <w:pPr>
        <w:pStyle w:val="ListParagraph"/>
        <w:numPr>
          <w:ilvl w:val="0"/>
          <w:numId w:val="18"/>
        </w:numPr>
        <w:spacing w:after="0"/>
        <w:jc w:val="both"/>
        <w:rPr>
          <w:rFonts w:cstheme="minorHAnsi"/>
          <w:sz w:val="24"/>
          <w:szCs w:val="24"/>
        </w:rPr>
      </w:pPr>
      <w:r w:rsidRPr="00881E6E">
        <w:rPr>
          <w:rFonts w:cstheme="minorHAnsi"/>
          <w:sz w:val="24"/>
          <w:szCs w:val="24"/>
        </w:rPr>
        <w:t xml:space="preserve">All portions of a gasoline service station site not utilized for landscaping or for other open space use shall be paved. All perimeters shall be landscaped in conformance with </w:t>
      </w:r>
      <w:r w:rsidR="000A758A" w:rsidRPr="00881E6E">
        <w:rPr>
          <w:rFonts w:cstheme="minorHAnsi"/>
          <w:sz w:val="24"/>
          <w:szCs w:val="24"/>
        </w:rPr>
        <w:t>City Ordinance.</w:t>
      </w:r>
    </w:p>
    <w:p w14:paraId="7008D4ED" w14:textId="0EA99F16" w:rsidR="00367B7A" w:rsidRDefault="00674A3E" w:rsidP="00EA1D2F">
      <w:pPr>
        <w:pStyle w:val="ListParagraph"/>
        <w:numPr>
          <w:ilvl w:val="0"/>
          <w:numId w:val="18"/>
        </w:numPr>
        <w:spacing w:after="0"/>
        <w:jc w:val="both"/>
        <w:rPr>
          <w:rFonts w:cstheme="minorHAnsi"/>
          <w:sz w:val="24"/>
          <w:szCs w:val="24"/>
        </w:rPr>
      </w:pPr>
      <w:r w:rsidRPr="00881E6E">
        <w:rPr>
          <w:rFonts w:cstheme="minorHAnsi"/>
          <w:sz w:val="24"/>
          <w:szCs w:val="24"/>
        </w:rPr>
        <w:t xml:space="preserve">No gasoline service station shall be located less than </w:t>
      </w:r>
      <w:r w:rsidR="007B7E91" w:rsidRPr="00881E6E">
        <w:rPr>
          <w:rFonts w:cstheme="minorHAnsi"/>
          <w:sz w:val="24"/>
          <w:szCs w:val="24"/>
        </w:rPr>
        <w:t>6</w:t>
      </w:r>
      <w:r w:rsidRPr="00881E6E">
        <w:rPr>
          <w:rFonts w:cstheme="minorHAnsi"/>
          <w:sz w:val="24"/>
          <w:szCs w:val="24"/>
        </w:rPr>
        <w:t xml:space="preserve">00 feet from any park, playground, church, school or </w:t>
      </w:r>
      <w:r w:rsidR="007F0DBE" w:rsidRPr="00881E6E">
        <w:rPr>
          <w:rFonts w:cstheme="minorHAnsi"/>
          <w:sz w:val="24"/>
          <w:szCs w:val="24"/>
        </w:rPr>
        <w:t xml:space="preserve">other </w:t>
      </w:r>
      <w:r w:rsidR="005B2270" w:rsidRPr="00881E6E">
        <w:rPr>
          <w:rFonts w:cstheme="minorHAnsi"/>
          <w:sz w:val="24"/>
          <w:szCs w:val="24"/>
        </w:rPr>
        <w:t xml:space="preserve">similar </w:t>
      </w:r>
      <w:r w:rsidRPr="00881E6E">
        <w:rPr>
          <w:rFonts w:cstheme="minorHAnsi"/>
          <w:sz w:val="24"/>
          <w:szCs w:val="24"/>
        </w:rPr>
        <w:t>p</w:t>
      </w:r>
      <w:r w:rsidR="007F0DBE" w:rsidRPr="00881E6E">
        <w:rPr>
          <w:rFonts w:cstheme="minorHAnsi"/>
          <w:sz w:val="24"/>
          <w:szCs w:val="24"/>
        </w:rPr>
        <w:t>laces of public gathering</w:t>
      </w:r>
      <w:r w:rsidR="00252C6A">
        <w:rPr>
          <w:rFonts w:cstheme="minorHAnsi"/>
          <w:sz w:val="24"/>
          <w:szCs w:val="24"/>
        </w:rPr>
        <w:t xml:space="preserve"> or education.</w:t>
      </w:r>
    </w:p>
    <w:p w14:paraId="2EDBE934" w14:textId="1AD70183" w:rsidR="005A3264" w:rsidRPr="00881E6E" w:rsidRDefault="005A3264" w:rsidP="00EA1D2F">
      <w:pPr>
        <w:pStyle w:val="ListParagraph"/>
        <w:numPr>
          <w:ilvl w:val="0"/>
          <w:numId w:val="18"/>
        </w:numPr>
        <w:spacing w:after="0"/>
        <w:jc w:val="both"/>
        <w:rPr>
          <w:rFonts w:cstheme="minorHAnsi"/>
          <w:sz w:val="24"/>
          <w:szCs w:val="24"/>
        </w:rPr>
      </w:pPr>
      <w:r>
        <w:rPr>
          <w:rFonts w:cstheme="minorHAnsi"/>
          <w:sz w:val="24"/>
          <w:szCs w:val="24"/>
        </w:rPr>
        <w:t>No gasoline service station shall be located less than 500 feet from any residential dwelling or residential community development</w:t>
      </w:r>
      <w:r w:rsidR="00252C6A">
        <w:rPr>
          <w:rFonts w:cstheme="minorHAnsi"/>
          <w:sz w:val="24"/>
          <w:szCs w:val="24"/>
        </w:rPr>
        <w:t xml:space="preserve"> </w:t>
      </w:r>
      <w:r w:rsidR="00252C6A" w:rsidRPr="00252C6A">
        <w:rPr>
          <w:rFonts w:cstheme="minorHAnsi"/>
          <w:sz w:val="24"/>
          <w:szCs w:val="24"/>
        </w:rPr>
        <w:t>or subdivision, as measured from the property line of the gasoline service station to the property line closest to the residential dwelling of residential community development or subdivision.</w:t>
      </w:r>
      <w:r w:rsidR="00252C6A">
        <w:rPr>
          <w:rFonts w:cstheme="minorHAnsi"/>
          <w:sz w:val="24"/>
          <w:szCs w:val="24"/>
        </w:rPr>
        <w:t xml:space="preserve"> </w:t>
      </w:r>
    </w:p>
    <w:p w14:paraId="493F1BD8" w14:textId="77777777" w:rsidR="007C35B8" w:rsidRPr="00881E6E" w:rsidRDefault="007C35B8" w:rsidP="00EA1D2F">
      <w:pPr>
        <w:spacing w:after="0"/>
        <w:ind w:left="720" w:hanging="720"/>
        <w:jc w:val="both"/>
        <w:rPr>
          <w:rFonts w:cstheme="minorHAnsi"/>
          <w:sz w:val="24"/>
          <w:szCs w:val="24"/>
        </w:rPr>
      </w:pPr>
    </w:p>
    <w:p w14:paraId="04615BE6" w14:textId="77777777" w:rsidR="009855E8" w:rsidRPr="00881E6E" w:rsidRDefault="00674A3E" w:rsidP="00EA1D2F">
      <w:pPr>
        <w:pStyle w:val="ListParagraph"/>
        <w:numPr>
          <w:ilvl w:val="0"/>
          <w:numId w:val="9"/>
        </w:numPr>
        <w:spacing w:after="0"/>
        <w:jc w:val="both"/>
        <w:rPr>
          <w:rFonts w:cstheme="minorHAnsi"/>
          <w:sz w:val="24"/>
          <w:szCs w:val="24"/>
        </w:rPr>
      </w:pPr>
      <w:r w:rsidRPr="00881E6E">
        <w:rPr>
          <w:rFonts w:cstheme="minorHAnsi"/>
          <w:sz w:val="24"/>
          <w:szCs w:val="24"/>
        </w:rPr>
        <w:t>Ingress/Egress and On-Site Circulation.</w:t>
      </w:r>
    </w:p>
    <w:p w14:paraId="304C20ED" w14:textId="77777777" w:rsidR="009855E8" w:rsidRPr="00881E6E" w:rsidRDefault="009855E8" w:rsidP="00EA1D2F">
      <w:pPr>
        <w:pStyle w:val="ListParagraph"/>
        <w:spacing w:after="0"/>
        <w:ind w:left="1080"/>
        <w:jc w:val="both"/>
        <w:rPr>
          <w:rFonts w:cstheme="minorHAnsi"/>
          <w:sz w:val="24"/>
          <w:szCs w:val="24"/>
        </w:rPr>
      </w:pPr>
    </w:p>
    <w:p w14:paraId="5708718A" w14:textId="773D1D96" w:rsidR="00674A3E" w:rsidRPr="00881E6E" w:rsidRDefault="00674A3E" w:rsidP="00EA1D2F">
      <w:pPr>
        <w:pStyle w:val="ListParagraph"/>
        <w:numPr>
          <w:ilvl w:val="0"/>
          <w:numId w:val="25"/>
        </w:numPr>
        <w:spacing w:after="0"/>
        <w:jc w:val="both"/>
        <w:rPr>
          <w:rFonts w:cstheme="minorHAnsi"/>
          <w:sz w:val="24"/>
          <w:szCs w:val="24"/>
        </w:rPr>
      </w:pPr>
      <w:r w:rsidRPr="00881E6E">
        <w:rPr>
          <w:rFonts w:cstheme="minorHAnsi"/>
          <w:sz w:val="24"/>
          <w:szCs w:val="24"/>
        </w:rPr>
        <w:t xml:space="preserve">Separate ingress and egress points </w:t>
      </w:r>
      <w:r w:rsidR="007B7E91" w:rsidRPr="00881E6E">
        <w:rPr>
          <w:rFonts w:cstheme="minorHAnsi"/>
          <w:sz w:val="24"/>
          <w:szCs w:val="24"/>
        </w:rPr>
        <w:t xml:space="preserve">to two separate roads </w:t>
      </w:r>
      <w:r w:rsidRPr="00881E6E">
        <w:rPr>
          <w:rFonts w:cstheme="minorHAnsi"/>
          <w:sz w:val="24"/>
          <w:szCs w:val="24"/>
        </w:rPr>
        <w:t>shall be provided</w:t>
      </w:r>
      <w:r w:rsidR="00252C6A">
        <w:rPr>
          <w:rFonts w:cstheme="minorHAnsi"/>
          <w:sz w:val="24"/>
          <w:szCs w:val="24"/>
        </w:rPr>
        <w:t xml:space="preserve"> for each gasoline service station,</w:t>
      </w:r>
      <w:r w:rsidRPr="00881E6E">
        <w:rPr>
          <w:rFonts w:cstheme="minorHAnsi"/>
          <w:sz w:val="24"/>
          <w:szCs w:val="24"/>
        </w:rPr>
        <w:t xml:space="preserve"> unless a traffic study demonstrates that a dual ingress and egress driveway can be implemented without adverse impact on adjacent streets.</w:t>
      </w:r>
    </w:p>
    <w:p w14:paraId="558F628C" w14:textId="19AF7F07" w:rsidR="00674A3E" w:rsidRPr="00881E6E" w:rsidRDefault="00674A3E" w:rsidP="00EA1D2F">
      <w:pPr>
        <w:pStyle w:val="ListParagraph"/>
        <w:numPr>
          <w:ilvl w:val="0"/>
          <w:numId w:val="25"/>
        </w:numPr>
        <w:spacing w:after="0"/>
        <w:jc w:val="both"/>
        <w:rPr>
          <w:rFonts w:cstheme="minorHAnsi"/>
          <w:sz w:val="24"/>
          <w:szCs w:val="24"/>
        </w:rPr>
      </w:pPr>
      <w:r w:rsidRPr="00881E6E">
        <w:rPr>
          <w:rFonts w:cstheme="minorHAnsi"/>
          <w:sz w:val="24"/>
          <w:szCs w:val="24"/>
        </w:rPr>
        <w:t xml:space="preserve">A minimum of 70 feet of clear vehicle stacking space (queuing) shall be provided on-site </w:t>
      </w:r>
      <w:r w:rsidR="00A40BD4" w:rsidRPr="00881E6E">
        <w:rPr>
          <w:rFonts w:cstheme="minorHAnsi"/>
          <w:sz w:val="24"/>
          <w:szCs w:val="24"/>
        </w:rPr>
        <w:t xml:space="preserve">for each </w:t>
      </w:r>
      <w:r w:rsidRPr="00881E6E">
        <w:rPr>
          <w:rFonts w:cstheme="minorHAnsi"/>
          <w:sz w:val="24"/>
          <w:szCs w:val="24"/>
        </w:rPr>
        <w:t>pump island</w:t>
      </w:r>
      <w:r w:rsidR="00A40BD4" w:rsidRPr="00881E6E">
        <w:rPr>
          <w:rFonts w:cstheme="minorHAnsi"/>
          <w:sz w:val="24"/>
          <w:szCs w:val="24"/>
        </w:rPr>
        <w:t xml:space="preserve"> in a manner that does not impede with traffic.</w:t>
      </w:r>
    </w:p>
    <w:p w14:paraId="21C966DC" w14:textId="0844BE35" w:rsidR="00674A3E" w:rsidRPr="00881E6E" w:rsidRDefault="00674A3E" w:rsidP="00EA1D2F">
      <w:pPr>
        <w:pStyle w:val="ListParagraph"/>
        <w:numPr>
          <w:ilvl w:val="0"/>
          <w:numId w:val="25"/>
        </w:numPr>
        <w:spacing w:after="0"/>
        <w:jc w:val="both"/>
        <w:rPr>
          <w:rFonts w:cstheme="minorHAnsi"/>
          <w:sz w:val="24"/>
          <w:szCs w:val="24"/>
        </w:rPr>
      </w:pPr>
      <w:r w:rsidRPr="00881E6E">
        <w:rPr>
          <w:rFonts w:cstheme="minorHAnsi"/>
          <w:sz w:val="24"/>
          <w:szCs w:val="24"/>
        </w:rPr>
        <w:t>Driveways shall be a</w:t>
      </w:r>
      <w:r w:rsidR="005B2270" w:rsidRPr="00881E6E">
        <w:rPr>
          <w:rFonts w:cstheme="minorHAnsi"/>
          <w:sz w:val="24"/>
          <w:szCs w:val="24"/>
        </w:rPr>
        <w:t xml:space="preserve">t a </w:t>
      </w:r>
      <w:r w:rsidR="00A40BD4" w:rsidRPr="00881E6E">
        <w:rPr>
          <w:rFonts w:cstheme="minorHAnsi"/>
          <w:sz w:val="24"/>
          <w:szCs w:val="24"/>
        </w:rPr>
        <w:t xml:space="preserve">minimum </w:t>
      </w:r>
      <w:r w:rsidRPr="00881E6E">
        <w:rPr>
          <w:rFonts w:cstheme="minorHAnsi"/>
          <w:sz w:val="24"/>
          <w:szCs w:val="24"/>
        </w:rPr>
        <w:t>width</w:t>
      </w:r>
      <w:r w:rsidR="005B2270" w:rsidRPr="00881E6E">
        <w:rPr>
          <w:rFonts w:cstheme="minorHAnsi"/>
          <w:sz w:val="24"/>
          <w:szCs w:val="24"/>
        </w:rPr>
        <w:t xml:space="preserve"> </w:t>
      </w:r>
      <w:r w:rsidR="00A40BD4" w:rsidRPr="00881E6E">
        <w:rPr>
          <w:rFonts w:cstheme="minorHAnsi"/>
          <w:sz w:val="24"/>
          <w:szCs w:val="24"/>
        </w:rPr>
        <w:t>of 35 feet</w:t>
      </w:r>
      <w:r w:rsidR="00252C6A">
        <w:rPr>
          <w:rFonts w:cstheme="minorHAnsi"/>
          <w:sz w:val="24"/>
          <w:szCs w:val="24"/>
        </w:rPr>
        <w:t>.</w:t>
      </w:r>
    </w:p>
    <w:p w14:paraId="63C8FFBA" w14:textId="77777777" w:rsidR="00DB5959" w:rsidRPr="00881E6E" w:rsidRDefault="00DB5959" w:rsidP="00EA1D2F">
      <w:pPr>
        <w:pStyle w:val="ListParagraph"/>
        <w:spacing w:after="0"/>
        <w:ind w:left="1800"/>
        <w:jc w:val="both"/>
        <w:rPr>
          <w:rFonts w:cstheme="minorHAnsi"/>
          <w:sz w:val="24"/>
          <w:szCs w:val="24"/>
        </w:rPr>
      </w:pPr>
    </w:p>
    <w:p w14:paraId="4A0D9F26" w14:textId="3A10303D" w:rsidR="00674A3E" w:rsidRPr="00881E6E" w:rsidRDefault="00674A3E" w:rsidP="00EA1D2F">
      <w:pPr>
        <w:pStyle w:val="ListParagraph"/>
        <w:numPr>
          <w:ilvl w:val="0"/>
          <w:numId w:val="9"/>
        </w:numPr>
        <w:spacing w:after="0"/>
        <w:jc w:val="both"/>
        <w:rPr>
          <w:rFonts w:cstheme="minorHAnsi"/>
          <w:sz w:val="24"/>
          <w:szCs w:val="24"/>
        </w:rPr>
      </w:pPr>
      <w:r w:rsidRPr="00881E6E">
        <w:rPr>
          <w:rFonts w:cstheme="minorHAnsi"/>
          <w:sz w:val="24"/>
          <w:szCs w:val="24"/>
        </w:rPr>
        <w:t>Operational Standards.</w:t>
      </w:r>
    </w:p>
    <w:p w14:paraId="079F5385" w14:textId="77777777" w:rsidR="00674A3E" w:rsidRPr="00881E6E" w:rsidRDefault="00674A3E" w:rsidP="00EA1D2F">
      <w:pPr>
        <w:spacing w:after="0"/>
        <w:ind w:left="720" w:hanging="720"/>
        <w:jc w:val="both"/>
        <w:rPr>
          <w:rFonts w:cstheme="minorHAnsi"/>
          <w:sz w:val="24"/>
          <w:szCs w:val="24"/>
        </w:rPr>
      </w:pPr>
    </w:p>
    <w:p w14:paraId="3B666C33" w14:textId="54A84F47" w:rsidR="009855E8" w:rsidRPr="00881E6E" w:rsidRDefault="00674A3E" w:rsidP="00EA1D2F">
      <w:pPr>
        <w:pStyle w:val="ListParagraph"/>
        <w:numPr>
          <w:ilvl w:val="0"/>
          <w:numId w:val="20"/>
        </w:numPr>
        <w:spacing w:after="0"/>
        <w:jc w:val="both"/>
        <w:rPr>
          <w:rFonts w:cstheme="minorHAnsi"/>
          <w:sz w:val="24"/>
          <w:szCs w:val="24"/>
        </w:rPr>
      </w:pPr>
      <w:r w:rsidRPr="00881E6E">
        <w:rPr>
          <w:rFonts w:cstheme="minorHAnsi"/>
          <w:sz w:val="24"/>
          <w:szCs w:val="24"/>
        </w:rPr>
        <w:t xml:space="preserve">All vehicle service </w:t>
      </w:r>
      <w:r w:rsidR="00252C6A">
        <w:rPr>
          <w:rFonts w:cstheme="minorHAnsi"/>
          <w:sz w:val="24"/>
          <w:szCs w:val="24"/>
        </w:rPr>
        <w:t xml:space="preserve">or repair </w:t>
      </w:r>
      <w:r w:rsidRPr="00881E6E">
        <w:rPr>
          <w:rFonts w:cstheme="minorHAnsi"/>
          <w:sz w:val="24"/>
          <w:szCs w:val="24"/>
        </w:rPr>
        <w:t>activities shall be conducted within a building designed in such a fashion that these activities are not visible from arterials.</w:t>
      </w:r>
    </w:p>
    <w:p w14:paraId="3BEC0EAC" w14:textId="3275FEFF" w:rsidR="00674A3E" w:rsidRPr="00881E6E" w:rsidRDefault="00674A3E" w:rsidP="00EA1D2F">
      <w:pPr>
        <w:pStyle w:val="ListParagraph"/>
        <w:numPr>
          <w:ilvl w:val="0"/>
          <w:numId w:val="20"/>
        </w:numPr>
        <w:spacing w:after="0"/>
        <w:jc w:val="both"/>
        <w:rPr>
          <w:rFonts w:cstheme="minorHAnsi"/>
          <w:sz w:val="24"/>
          <w:szCs w:val="24"/>
        </w:rPr>
      </w:pPr>
      <w:r w:rsidRPr="00881E6E">
        <w:rPr>
          <w:rFonts w:cstheme="minorHAnsi"/>
          <w:sz w:val="24"/>
          <w:szCs w:val="24"/>
        </w:rPr>
        <w:t>Accessory truck, trailer, and vehicle rental or sales shall be permitted where allowed by zoning.</w:t>
      </w:r>
    </w:p>
    <w:p w14:paraId="79FE4F44" w14:textId="3B23CAA9" w:rsidR="00674A3E" w:rsidRPr="00881E6E" w:rsidRDefault="00674A3E" w:rsidP="00EA1D2F">
      <w:pPr>
        <w:pStyle w:val="ListParagraph"/>
        <w:numPr>
          <w:ilvl w:val="0"/>
          <w:numId w:val="20"/>
        </w:numPr>
        <w:spacing w:after="0"/>
        <w:jc w:val="both"/>
        <w:rPr>
          <w:rFonts w:cstheme="minorHAnsi"/>
          <w:sz w:val="24"/>
          <w:szCs w:val="24"/>
        </w:rPr>
      </w:pPr>
      <w:r w:rsidRPr="00881E6E">
        <w:rPr>
          <w:rFonts w:cstheme="minorHAnsi"/>
          <w:sz w:val="24"/>
          <w:szCs w:val="24"/>
        </w:rPr>
        <w:t>No major vehicle repair shall be conducted on-site. “Major repair” shall include, but not be limited to, body repair and straightening or disassembly of body or engine parts.</w:t>
      </w:r>
    </w:p>
    <w:p w14:paraId="4C2BE97D" w14:textId="2D83E58E" w:rsidR="00674A3E" w:rsidRPr="00881E6E" w:rsidRDefault="00674A3E" w:rsidP="00EA1D2F">
      <w:pPr>
        <w:pStyle w:val="ListParagraph"/>
        <w:numPr>
          <w:ilvl w:val="0"/>
          <w:numId w:val="20"/>
        </w:numPr>
        <w:spacing w:after="0"/>
        <w:jc w:val="both"/>
        <w:rPr>
          <w:rFonts w:cstheme="minorHAnsi"/>
          <w:sz w:val="24"/>
          <w:szCs w:val="24"/>
        </w:rPr>
      </w:pPr>
      <w:r w:rsidRPr="00881E6E">
        <w:rPr>
          <w:rFonts w:cstheme="minorHAnsi"/>
          <w:sz w:val="24"/>
          <w:szCs w:val="24"/>
        </w:rPr>
        <w:t>A policy manual for the management of hazardous materials incidents is to be submitted to the city for review and approval prior to occupancy of the facility.</w:t>
      </w:r>
    </w:p>
    <w:p w14:paraId="72486D85" w14:textId="5F9E80D9" w:rsidR="00026A63" w:rsidRPr="00881E6E" w:rsidRDefault="00026A63" w:rsidP="00EA1D2F">
      <w:pPr>
        <w:spacing w:after="0"/>
        <w:ind w:left="720" w:hanging="720"/>
        <w:jc w:val="both"/>
        <w:rPr>
          <w:rFonts w:cstheme="minorHAnsi"/>
          <w:sz w:val="24"/>
          <w:szCs w:val="24"/>
        </w:rPr>
      </w:pPr>
    </w:p>
    <w:p w14:paraId="7E4AAFA1" w14:textId="25C8C613" w:rsidR="00DB5959" w:rsidRPr="00881E6E" w:rsidRDefault="00DB5959" w:rsidP="00EA1D2F">
      <w:pPr>
        <w:spacing w:after="0"/>
        <w:jc w:val="both"/>
        <w:rPr>
          <w:rFonts w:cstheme="minorHAnsi"/>
          <w:sz w:val="24"/>
          <w:szCs w:val="24"/>
        </w:rPr>
      </w:pPr>
    </w:p>
    <w:p w14:paraId="7E8AE3C2" w14:textId="0959B3D4" w:rsidR="00DB5959" w:rsidRPr="00881E6E" w:rsidRDefault="00DB5959" w:rsidP="00EA1D2F">
      <w:pPr>
        <w:spacing w:after="0"/>
        <w:jc w:val="both"/>
        <w:rPr>
          <w:rFonts w:cstheme="minorHAnsi"/>
          <w:sz w:val="24"/>
          <w:szCs w:val="24"/>
        </w:rPr>
      </w:pPr>
      <w:r w:rsidRPr="00881E6E">
        <w:rPr>
          <w:rFonts w:cstheme="minorHAnsi"/>
          <w:b/>
          <w:bCs/>
          <w:sz w:val="24"/>
          <w:szCs w:val="24"/>
        </w:rPr>
        <w:t>Section 3</w:t>
      </w:r>
      <w:r w:rsidRPr="00881E6E">
        <w:rPr>
          <w:rFonts w:cstheme="minorHAnsi"/>
          <w:sz w:val="24"/>
          <w:szCs w:val="24"/>
        </w:rPr>
        <w:t>. Should any phrase, clause, sentence or section of this ordinance be declared unconstitutional by a court of competent jurisdiction, such determination shall not effect the remaining provision of this ordinance, which provision shall remain in full force and effect.</w:t>
      </w:r>
    </w:p>
    <w:p w14:paraId="4473F6D0" w14:textId="77777777" w:rsidR="00DB5959" w:rsidRPr="00881E6E" w:rsidRDefault="00DB5959" w:rsidP="00EA1D2F">
      <w:pPr>
        <w:spacing w:after="0"/>
        <w:jc w:val="both"/>
        <w:rPr>
          <w:rFonts w:cstheme="minorHAnsi"/>
          <w:sz w:val="24"/>
          <w:szCs w:val="24"/>
        </w:rPr>
      </w:pPr>
    </w:p>
    <w:p w14:paraId="31507DC4" w14:textId="638D72A4" w:rsidR="00DB5959" w:rsidRPr="00881E6E" w:rsidRDefault="00DB5959" w:rsidP="00EA1D2F">
      <w:pPr>
        <w:spacing w:after="0"/>
        <w:jc w:val="both"/>
        <w:rPr>
          <w:rFonts w:cstheme="minorHAnsi"/>
          <w:sz w:val="24"/>
          <w:szCs w:val="24"/>
        </w:rPr>
      </w:pPr>
      <w:r w:rsidRPr="00881E6E">
        <w:rPr>
          <w:rFonts w:cstheme="minorHAnsi"/>
          <w:b/>
          <w:bCs/>
          <w:sz w:val="24"/>
          <w:szCs w:val="24"/>
        </w:rPr>
        <w:t>Section 4</w:t>
      </w:r>
      <w:r w:rsidRPr="00881E6E">
        <w:rPr>
          <w:rFonts w:cstheme="minorHAnsi"/>
          <w:sz w:val="24"/>
          <w:szCs w:val="24"/>
        </w:rPr>
        <w:t>. All ordinances or resolutions, or parts thereof, which conflict with the provisions of this ordinance are, to the extent of such conflict, hereby repealed.</w:t>
      </w:r>
    </w:p>
    <w:p w14:paraId="77F59E71" w14:textId="77777777" w:rsidR="00DB5959" w:rsidRPr="00881E6E" w:rsidRDefault="00DB5959" w:rsidP="00EA1D2F">
      <w:pPr>
        <w:spacing w:after="0"/>
        <w:jc w:val="both"/>
        <w:rPr>
          <w:rFonts w:cstheme="minorHAnsi"/>
          <w:sz w:val="24"/>
          <w:szCs w:val="24"/>
        </w:rPr>
      </w:pPr>
    </w:p>
    <w:p w14:paraId="2263968E" w14:textId="7B6C432C" w:rsidR="00DB5959" w:rsidRPr="00881E6E" w:rsidRDefault="00DB5959" w:rsidP="00EA1D2F">
      <w:pPr>
        <w:spacing w:after="0"/>
        <w:jc w:val="both"/>
        <w:rPr>
          <w:rFonts w:cstheme="minorHAnsi"/>
          <w:sz w:val="24"/>
          <w:szCs w:val="24"/>
        </w:rPr>
      </w:pPr>
      <w:r w:rsidRPr="00881E6E">
        <w:rPr>
          <w:rFonts w:cstheme="minorHAnsi"/>
          <w:b/>
          <w:bCs/>
          <w:sz w:val="24"/>
          <w:szCs w:val="24"/>
        </w:rPr>
        <w:t>Section 5</w:t>
      </w:r>
      <w:r w:rsidRPr="00881E6E">
        <w:rPr>
          <w:rFonts w:cstheme="minorHAnsi"/>
          <w:sz w:val="24"/>
          <w:szCs w:val="24"/>
        </w:rPr>
        <w:t xml:space="preserve">. The ordinance shall become effective </w:t>
      </w:r>
      <w:r w:rsidR="00577127">
        <w:rPr>
          <w:rFonts w:cstheme="minorHAnsi"/>
          <w:sz w:val="24"/>
          <w:szCs w:val="24"/>
        </w:rPr>
        <w:t>__________________</w:t>
      </w:r>
      <w:r w:rsidRPr="00881E6E">
        <w:rPr>
          <w:rFonts w:cstheme="minorHAnsi"/>
          <w:sz w:val="24"/>
          <w:szCs w:val="24"/>
        </w:rPr>
        <w:t>, 2023.</w:t>
      </w:r>
    </w:p>
    <w:p w14:paraId="7213C6EC" w14:textId="77777777" w:rsidR="00DB5959" w:rsidRPr="00881E6E" w:rsidRDefault="00DB5959" w:rsidP="00EA1D2F">
      <w:pPr>
        <w:spacing w:after="0"/>
        <w:jc w:val="both"/>
        <w:rPr>
          <w:rFonts w:cstheme="minorHAnsi"/>
          <w:sz w:val="24"/>
          <w:szCs w:val="24"/>
        </w:rPr>
      </w:pPr>
    </w:p>
    <w:p w14:paraId="32354E66" w14:textId="1B18227A" w:rsidR="009855E8" w:rsidRPr="00881E6E" w:rsidRDefault="009855E8" w:rsidP="00EA1D2F">
      <w:pPr>
        <w:ind w:left="720" w:hanging="720"/>
        <w:jc w:val="both"/>
        <w:rPr>
          <w:rFonts w:cstheme="minorHAnsi"/>
          <w:b/>
          <w:bCs/>
          <w:sz w:val="24"/>
          <w:szCs w:val="24"/>
        </w:rPr>
      </w:pPr>
      <w:r w:rsidRPr="00881E6E">
        <w:rPr>
          <w:rFonts w:cstheme="minorHAnsi"/>
          <w:b/>
          <w:bCs/>
          <w:sz w:val="24"/>
          <w:szCs w:val="24"/>
        </w:rPr>
        <w:t>Effective Date and Repealer Provision</w:t>
      </w:r>
    </w:p>
    <w:p w14:paraId="143388FB" w14:textId="77777777" w:rsidR="009855E8" w:rsidRPr="00881E6E" w:rsidRDefault="009855E8" w:rsidP="009C1AAA">
      <w:pPr>
        <w:ind w:left="720" w:hanging="720"/>
        <w:rPr>
          <w:rFonts w:cstheme="minorHAnsi"/>
          <w:sz w:val="24"/>
          <w:szCs w:val="24"/>
        </w:rPr>
      </w:pPr>
      <w:r w:rsidRPr="00881E6E">
        <w:rPr>
          <w:rFonts w:cstheme="minorHAnsi"/>
          <w:sz w:val="24"/>
          <w:szCs w:val="24"/>
        </w:rPr>
        <w:t xml:space="preserve">This ordinance shall become effective immediately upon its adoption and any and all existing or </w:t>
      </w:r>
    </w:p>
    <w:p w14:paraId="4A3B9784" w14:textId="77777777" w:rsidR="009855E8" w:rsidRPr="00881E6E" w:rsidRDefault="009855E8" w:rsidP="009C1AAA">
      <w:pPr>
        <w:ind w:left="720" w:hanging="720"/>
        <w:rPr>
          <w:rFonts w:cstheme="minorHAnsi"/>
          <w:sz w:val="24"/>
          <w:szCs w:val="24"/>
        </w:rPr>
      </w:pPr>
      <w:r w:rsidRPr="00881E6E">
        <w:rPr>
          <w:rFonts w:cstheme="minorHAnsi"/>
          <w:sz w:val="24"/>
          <w:szCs w:val="24"/>
        </w:rPr>
        <w:t xml:space="preserve">preexisting City of Senoia, Georgia ordinances, amendments, and resolutions in conflict with </w:t>
      </w:r>
    </w:p>
    <w:p w14:paraId="38C539CF" w14:textId="3F0ABF97" w:rsidR="009855E8" w:rsidRPr="00881E6E" w:rsidRDefault="009855E8" w:rsidP="009C1AAA">
      <w:pPr>
        <w:ind w:left="720" w:hanging="720"/>
        <w:rPr>
          <w:rFonts w:cstheme="minorHAnsi"/>
          <w:b/>
          <w:bCs/>
          <w:sz w:val="24"/>
          <w:szCs w:val="24"/>
        </w:rPr>
      </w:pPr>
      <w:r w:rsidRPr="00881E6E">
        <w:rPr>
          <w:rFonts w:cstheme="minorHAnsi"/>
          <w:sz w:val="24"/>
          <w:szCs w:val="24"/>
        </w:rPr>
        <w:t xml:space="preserve">the terms  of this Ordinance are hereby repealed. </w:t>
      </w:r>
    </w:p>
    <w:p w14:paraId="6547AAD8" w14:textId="77777777" w:rsidR="00577127" w:rsidRDefault="009855E8" w:rsidP="00EA1D2F">
      <w:pPr>
        <w:ind w:left="720" w:hanging="720"/>
        <w:jc w:val="both"/>
        <w:rPr>
          <w:rFonts w:cstheme="minorHAnsi"/>
          <w:sz w:val="24"/>
          <w:szCs w:val="24"/>
        </w:rPr>
      </w:pPr>
      <w:r w:rsidRPr="00881E6E">
        <w:rPr>
          <w:rFonts w:cstheme="minorHAnsi"/>
          <w:b/>
          <w:bCs/>
          <w:sz w:val="24"/>
          <w:szCs w:val="24"/>
        </w:rPr>
        <w:t>ADOPTED</w:t>
      </w:r>
      <w:r w:rsidRPr="00881E6E">
        <w:rPr>
          <w:rFonts w:cstheme="minorHAnsi"/>
          <w:sz w:val="24"/>
          <w:szCs w:val="24"/>
        </w:rPr>
        <w:t xml:space="preserve"> this </w:t>
      </w:r>
      <w:r w:rsidR="00577127">
        <w:rPr>
          <w:rFonts w:cstheme="minorHAnsi"/>
          <w:sz w:val="24"/>
          <w:szCs w:val="24"/>
        </w:rPr>
        <w:t xml:space="preserve">______ </w:t>
      </w:r>
      <w:r w:rsidRPr="00881E6E">
        <w:rPr>
          <w:rFonts w:cstheme="minorHAnsi"/>
          <w:sz w:val="24"/>
          <w:szCs w:val="24"/>
        </w:rPr>
        <w:t xml:space="preserve">day of </w:t>
      </w:r>
      <w:r w:rsidR="00577127">
        <w:rPr>
          <w:rFonts w:cstheme="minorHAnsi"/>
          <w:sz w:val="24"/>
          <w:szCs w:val="24"/>
        </w:rPr>
        <w:t>_______________</w:t>
      </w:r>
      <w:r w:rsidRPr="00881E6E">
        <w:rPr>
          <w:rFonts w:cstheme="minorHAnsi"/>
          <w:sz w:val="24"/>
          <w:szCs w:val="24"/>
        </w:rPr>
        <w:t>, 2023, by the City</w:t>
      </w:r>
      <w:r w:rsidR="00577127">
        <w:rPr>
          <w:rFonts w:cstheme="minorHAnsi"/>
          <w:sz w:val="24"/>
          <w:szCs w:val="24"/>
        </w:rPr>
        <w:t xml:space="preserve"> Council of the City of Senoia,</w:t>
      </w:r>
    </w:p>
    <w:p w14:paraId="3320C8A2" w14:textId="719E69A4" w:rsidR="009855E8" w:rsidRPr="00881E6E" w:rsidRDefault="009855E8" w:rsidP="00EA1D2F">
      <w:pPr>
        <w:ind w:left="720" w:hanging="720"/>
        <w:jc w:val="both"/>
        <w:rPr>
          <w:rFonts w:cstheme="minorHAnsi"/>
          <w:sz w:val="24"/>
          <w:szCs w:val="24"/>
        </w:rPr>
      </w:pPr>
      <w:r w:rsidRPr="00881E6E">
        <w:rPr>
          <w:rFonts w:cstheme="minorHAnsi"/>
          <w:sz w:val="24"/>
          <w:szCs w:val="24"/>
        </w:rPr>
        <w:t>Georgia.</w:t>
      </w:r>
      <w:bookmarkStart w:id="3" w:name="_GoBack"/>
      <w:bookmarkEnd w:id="3"/>
    </w:p>
    <w:p w14:paraId="0553B895" w14:textId="77777777" w:rsidR="00DB5959" w:rsidRPr="00881E6E" w:rsidRDefault="009855E8" w:rsidP="009855E8">
      <w:pPr>
        <w:ind w:left="720" w:hanging="720"/>
        <w:rPr>
          <w:rFonts w:cstheme="minorHAnsi"/>
          <w:sz w:val="24"/>
          <w:szCs w:val="24"/>
        </w:rPr>
      </w:pP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p>
    <w:p w14:paraId="07AFAF2C" w14:textId="74872C8C" w:rsidR="009855E8" w:rsidRPr="00881E6E" w:rsidRDefault="00DB5959" w:rsidP="009855E8">
      <w:pPr>
        <w:ind w:left="720" w:hanging="720"/>
        <w:rPr>
          <w:rFonts w:cstheme="minorHAnsi"/>
          <w:sz w:val="24"/>
          <w:szCs w:val="24"/>
        </w:rPr>
      </w:pP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009855E8" w:rsidRPr="00881E6E">
        <w:rPr>
          <w:rFonts w:cstheme="minorHAnsi"/>
          <w:sz w:val="24"/>
          <w:szCs w:val="24"/>
        </w:rPr>
        <w:t>CITY OF SENOIA, GEORGIA</w:t>
      </w:r>
    </w:p>
    <w:p w14:paraId="79DFDF2B" w14:textId="77777777" w:rsidR="009855E8" w:rsidRPr="00881E6E" w:rsidRDefault="009855E8" w:rsidP="009855E8">
      <w:pPr>
        <w:ind w:left="720" w:hanging="720"/>
        <w:rPr>
          <w:rFonts w:cstheme="minorHAnsi"/>
          <w:sz w:val="24"/>
          <w:szCs w:val="24"/>
        </w:rPr>
      </w:pP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t>BY:</w:t>
      </w:r>
    </w:p>
    <w:p w14:paraId="1C817550" w14:textId="165C944E" w:rsidR="009855E8" w:rsidRPr="00881E6E" w:rsidRDefault="009855E8" w:rsidP="009855E8">
      <w:pPr>
        <w:ind w:left="720" w:hanging="720"/>
        <w:rPr>
          <w:rFonts w:cstheme="minorHAnsi"/>
          <w:sz w:val="24"/>
          <w:szCs w:val="24"/>
        </w:rPr>
      </w:pP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t xml:space="preserve">     _______________________</w:t>
      </w:r>
      <w:r w:rsidR="00DB5959" w:rsidRPr="00881E6E">
        <w:rPr>
          <w:rFonts w:cstheme="minorHAnsi"/>
          <w:sz w:val="24"/>
          <w:szCs w:val="24"/>
        </w:rPr>
        <w:t>___</w:t>
      </w:r>
    </w:p>
    <w:p w14:paraId="2D7E4386" w14:textId="77777777" w:rsidR="009855E8" w:rsidRPr="00881E6E" w:rsidRDefault="009855E8" w:rsidP="009855E8">
      <w:pPr>
        <w:ind w:left="720" w:hanging="720"/>
        <w:rPr>
          <w:rFonts w:cstheme="minorHAnsi"/>
          <w:sz w:val="24"/>
          <w:szCs w:val="24"/>
        </w:rPr>
      </w:pP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r>
      <w:r w:rsidRPr="00881E6E">
        <w:rPr>
          <w:rFonts w:cstheme="minorHAnsi"/>
          <w:sz w:val="24"/>
          <w:szCs w:val="24"/>
        </w:rPr>
        <w:tab/>
        <w:t xml:space="preserve"> William “Dub” Pearman III, Mayor</w:t>
      </w:r>
    </w:p>
    <w:p w14:paraId="34A133F6" w14:textId="1FC28D13" w:rsidR="009855E8" w:rsidRPr="00881E6E" w:rsidRDefault="009855E8" w:rsidP="009855E8">
      <w:pPr>
        <w:ind w:left="720" w:hanging="720"/>
        <w:rPr>
          <w:rFonts w:cstheme="minorHAnsi"/>
          <w:sz w:val="24"/>
          <w:szCs w:val="24"/>
        </w:rPr>
      </w:pPr>
      <w:r w:rsidRPr="00881E6E">
        <w:rPr>
          <w:rFonts w:cstheme="minorHAnsi"/>
          <w:sz w:val="24"/>
          <w:szCs w:val="24"/>
        </w:rPr>
        <w:t>ATTEST:</w:t>
      </w:r>
    </w:p>
    <w:p w14:paraId="27532EEC" w14:textId="77777777" w:rsidR="009855E8" w:rsidRPr="00881E6E" w:rsidRDefault="009855E8" w:rsidP="009855E8">
      <w:pPr>
        <w:ind w:left="720" w:hanging="720"/>
        <w:rPr>
          <w:rFonts w:cstheme="minorHAnsi"/>
          <w:sz w:val="24"/>
          <w:szCs w:val="24"/>
        </w:rPr>
      </w:pPr>
      <w:r w:rsidRPr="00881E6E">
        <w:rPr>
          <w:rFonts w:cstheme="minorHAnsi"/>
          <w:sz w:val="24"/>
          <w:szCs w:val="24"/>
        </w:rPr>
        <w:t>___________________________ (SEAL)</w:t>
      </w:r>
    </w:p>
    <w:p w14:paraId="50654049" w14:textId="3D3BE34F" w:rsidR="009855E8" w:rsidRPr="00881E6E" w:rsidRDefault="009855E8" w:rsidP="009855E8">
      <w:pPr>
        <w:ind w:left="720" w:hanging="720"/>
        <w:rPr>
          <w:rFonts w:cstheme="minorHAnsi"/>
          <w:sz w:val="24"/>
          <w:szCs w:val="24"/>
        </w:rPr>
      </w:pPr>
      <w:r w:rsidRPr="00881E6E">
        <w:rPr>
          <w:rFonts w:cstheme="minorHAnsi"/>
          <w:sz w:val="24"/>
          <w:szCs w:val="24"/>
        </w:rPr>
        <w:t>Lynn Carter, City Clerk</w:t>
      </w:r>
    </w:p>
    <w:sectPr w:rsidR="009855E8" w:rsidRPr="0088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5"/>
    <w:multiLevelType w:val="hybridMultilevel"/>
    <w:tmpl w:val="3EB88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7D91"/>
    <w:multiLevelType w:val="hybridMultilevel"/>
    <w:tmpl w:val="63DEA820"/>
    <w:lvl w:ilvl="0" w:tplc="A8CAC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45F3D"/>
    <w:multiLevelType w:val="hybridMultilevel"/>
    <w:tmpl w:val="D3CE44A8"/>
    <w:lvl w:ilvl="0" w:tplc="C060A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10A47"/>
    <w:multiLevelType w:val="hybridMultilevel"/>
    <w:tmpl w:val="91063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D2D72"/>
    <w:multiLevelType w:val="hybridMultilevel"/>
    <w:tmpl w:val="FEFC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273AD"/>
    <w:multiLevelType w:val="hybridMultilevel"/>
    <w:tmpl w:val="C8D63A18"/>
    <w:lvl w:ilvl="0" w:tplc="7A6E5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941823"/>
    <w:multiLevelType w:val="hybridMultilevel"/>
    <w:tmpl w:val="548E42D2"/>
    <w:lvl w:ilvl="0" w:tplc="398E7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F6C8F"/>
    <w:multiLevelType w:val="hybridMultilevel"/>
    <w:tmpl w:val="496AE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57877"/>
    <w:multiLevelType w:val="hybridMultilevel"/>
    <w:tmpl w:val="42563828"/>
    <w:lvl w:ilvl="0" w:tplc="D36C8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774C3"/>
    <w:multiLevelType w:val="hybridMultilevel"/>
    <w:tmpl w:val="7B364E8E"/>
    <w:lvl w:ilvl="0" w:tplc="04302604">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28258D"/>
    <w:multiLevelType w:val="hybridMultilevel"/>
    <w:tmpl w:val="CD700120"/>
    <w:lvl w:ilvl="0" w:tplc="CD665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DE40B7"/>
    <w:multiLevelType w:val="hybridMultilevel"/>
    <w:tmpl w:val="B976752A"/>
    <w:lvl w:ilvl="0" w:tplc="92180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6935D6"/>
    <w:multiLevelType w:val="hybridMultilevel"/>
    <w:tmpl w:val="FF0883F2"/>
    <w:lvl w:ilvl="0" w:tplc="99BC4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A6574"/>
    <w:multiLevelType w:val="hybridMultilevel"/>
    <w:tmpl w:val="1D0A9174"/>
    <w:lvl w:ilvl="0" w:tplc="F800D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943EEF"/>
    <w:multiLevelType w:val="hybridMultilevel"/>
    <w:tmpl w:val="18945CC0"/>
    <w:lvl w:ilvl="0" w:tplc="693EC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FA567E"/>
    <w:multiLevelType w:val="hybridMultilevel"/>
    <w:tmpl w:val="6106B868"/>
    <w:lvl w:ilvl="0" w:tplc="61ECF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6D5AE8"/>
    <w:multiLevelType w:val="hybridMultilevel"/>
    <w:tmpl w:val="3078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B5B71"/>
    <w:multiLevelType w:val="hybridMultilevel"/>
    <w:tmpl w:val="C86C83EC"/>
    <w:lvl w:ilvl="0" w:tplc="47C23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2306F4"/>
    <w:multiLevelType w:val="hybridMultilevel"/>
    <w:tmpl w:val="F9A82736"/>
    <w:lvl w:ilvl="0" w:tplc="057E01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75138E"/>
    <w:multiLevelType w:val="hybridMultilevel"/>
    <w:tmpl w:val="01E4F8AC"/>
    <w:lvl w:ilvl="0" w:tplc="00FE66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3C971DB"/>
    <w:multiLevelType w:val="hybridMultilevel"/>
    <w:tmpl w:val="9368A8E8"/>
    <w:lvl w:ilvl="0" w:tplc="68F26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962DB9"/>
    <w:multiLevelType w:val="hybridMultilevel"/>
    <w:tmpl w:val="F3743B28"/>
    <w:lvl w:ilvl="0" w:tplc="E5CC3F6A">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583F4B"/>
    <w:multiLevelType w:val="hybridMultilevel"/>
    <w:tmpl w:val="2708A404"/>
    <w:lvl w:ilvl="0" w:tplc="0BD09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1D0094"/>
    <w:multiLevelType w:val="hybridMultilevel"/>
    <w:tmpl w:val="233C0930"/>
    <w:lvl w:ilvl="0" w:tplc="16AE5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6F2A77"/>
    <w:multiLevelType w:val="hybridMultilevel"/>
    <w:tmpl w:val="95F09C7A"/>
    <w:lvl w:ilvl="0" w:tplc="7D7C6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3"/>
  </w:num>
  <w:num w:numId="4">
    <w:abstractNumId w:val="0"/>
  </w:num>
  <w:num w:numId="5">
    <w:abstractNumId w:val="4"/>
  </w:num>
  <w:num w:numId="6">
    <w:abstractNumId w:val="24"/>
  </w:num>
  <w:num w:numId="7">
    <w:abstractNumId w:val="6"/>
  </w:num>
  <w:num w:numId="8">
    <w:abstractNumId w:val="17"/>
  </w:num>
  <w:num w:numId="9">
    <w:abstractNumId w:val="20"/>
  </w:num>
  <w:num w:numId="10">
    <w:abstractNumId w:val="10"/>
  </w:num>
  <w:num w:numId="11">
    <w:abstractNumId w:val="15"/>
  </w:num>
  <w:num w:numId="12">
    <w:abstractNumId w:val="22"/>
  </w:num>
  <w:num w:numId="13">
    <w:abstractNumId w:val="12"/>
  </w:num>
  <w:num w:numId="14">
    <w:abstractNumId w:val="8"/>
  </w:num>
  <w:num w:numId="15">
    <w:abstractNumId w:val="21"/>
  </w:num>
  <w:num w:numId="16">
    <w:abstractNumId w:val="1"/>
  </w:num>
  <w:num w:numId="17">
    <w:abstractNumId w:val="14"/>
  </w:num>
  <w:num w:numId="18">
    <w:abstractNumId w:val="23"/>
  </w:num>
  <w:num w:numId="19">
    <w:abstractNumId w:val="13"/>
  </w:num>
  <w:num w:numId="20">
    <w:abstractNumId w:val="9"/>
  </w:num>
  <w:num w:numId="21">
    <w:abstractNumId w:val="19"/>
  </w:num>
  <w:num w:numId="22">
    <w:abstractNumId w:val="5"/>
  </w:num>
  <w:num w:numId="23">
    <w:abstractNumId w:val="18"/>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9F"/>
    <w:rsid w:val="00026A63"/>
    <w:rsid w:val="00031FE4"/>
    <w:rsid w:val="000371D8"/>
    <w:rsid w:val="00037484"/>
    <w:rsid w:val="00062425"/>
    <w:rsid w:val="000A758A"/>
    <w:rsid w:val="000E4E62"/>
    <w:rsid w:val="00135335"/>
    <w:rsid w:val="001D7178"/>
    <w:rsid w:val="001E2944"/>
    <w:rsid w:val="00202A8D"/>
    <w:rsid w:val="00252C6A"/>
    <w:rsid w:val="002756B5"/>
    <w:rsid w:val="002A0EB8"/>
    <w:rsid w:val="002A3C5C"/>
    <w:rsid w:val="002F5886"/>
    <w:rsid w:val="003061BE"/>
    <w:rsid w:val="00367B7A"/>
    <w:rsid w:val="0037721D"/>
    <w:rsid w:val="00402E62"/>
    <w:rsid w:val="00405D01"/>
    <w:rsid w:val="00412850"/>
    <w:rsid w:val="00447679"/>
    <w:rsid w:val="004806EE"/>
    <w:rsid w:val="004809DE"/>
    <w:rsid w:val="00577127"/>
    <w:rsid w:val="00592DF4"/>
    <w:rsid w:val="005A3264"/>
    <w:rsid w:val="005B2270"/>
    <w:rsid w:val="005B66DA"/>
    <w:rsid w:val="00607678"/>
    <w:rsid w:val="00620834"/>
    <w:rsid w:val="0063660E"/>
    <w:rsid w:val="00671D57"/>
    <w:rsid w:val="00674A3E"/>
    <w:rsid w:val="006B56FC"/>
    <w:rsid w:val="006E4ABE"/>
    <w:rsid w:val="0072134D"/>
    <w:rsid w:val="007B7E91"/>
    <w:rsid w:val="007C35B8"/>
    <w:rsid w:val="007D5B67"/>
    <w:rsid w:val="007E4E3E"/>
    <w:rsid w:val="007F0DBE"/>
    <w:rsid w:val="007F6DCD"/>
    <w:rsid w:val="00881E6E"/>
    <w:rsid w:val="009006D8"/>
    <w:rsid w:val="00925E78"/>
    <w:rsid w:val="00945A39"/>
    <w:rsid w:val="009855E8"/>
    <w:rsid w:val="00990E63"/>
    <w:rsid w:val="009A4E17"/>
    <w:rsid w:val="009C1AAA"/>
    <w:rsid w:val="00A007C1"/>
    <w:rsid w:val="00A40BD4"/>
    <w:rsid w:val="00AB7D50"/>
    <w:rsid w:val="00B07069"/>
    <w:rsid w:val="00B21094"/>
    <w:rsid w:val="00B844A2"/>
    <w:rsid w:val="00BC10A6"/>
    <w:rsid w:val="00BD7001"/>
    <w:rsid w:val="00BF6FDC"/>
    <w:rsid w:val="00C11744"/>
    <w:rsid w:val="00C90D73"/>
    <w:rsid w:val="00CD68BB"/>
    <w:rsid w:val="00CF1D9A"/>
    <w:rsid w:val="00D4666F"/>
    <w:rsid w:val="00D47688"/>
    <w:rsid w:val="00D64526"/>
    <w:rsid w:val="00DB5959"/>
    <w:rsid w:val="00DC3D45"/>
    <w:rsid w:val="00DC7D6F"/>
    <w:rsid w:val="00E46CC0"/>
    <w:rsid w:val="00EA1D2F"/>
    <w:rsid w:val="00EB6574"/>
    <w:rsid w:val="00F054C6"/>
    <w:rsid w:val="00F25B09"/>
    <w:rsid w:val="00F3247D"/>
    <w:rsid w:val="00F355D8"/>
    <w:rsid w:val="00F62D9F"/>
    <w:rsid w:val="00F9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5287"/>
  <w15:chartTrackingRefBased/>
  <w15:docId w15:val="{53E145F8-BE20-4EFD-9AA5-70524020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3E"/>
    <w:pPr>
      <w:ind w:left="720"/>
      <w:contextualSpacing/>
    </w:pPr>
  </w:style>
  <w:style w:type="table" w:styleId="TableGrid">
    <w:name w:val="Table Grid"/>
    <w:basedOn w:val="TableNormal"/>
    <w:uiPriority w:val="39"/>
    <w:rsid w:val="0040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DFEF-C030-42D3-97B2-C91E19E2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Fisher</dc:creator>
  <cp:keywords/>
  <dc:description/>
  <cp:lastModifiedBy>Lynn Carter</cp:lastModifiedBy>
  <cp:revision>14</cp:revision>
  <cp:lastPrinted>2023-03-03T19:27:00Z</cp:lastPrinted>
  <dcterms:created xsi:type="dcterms:W3CDTF">2023-03-06T15:29:00Z</dcterms:created>
  <dcterms:modified xsi:type="dcterms:W3CDTF">2023-03-29T13:40:00Z</dcterms:modified>
</cp:coreProperties>
</file>