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125" w:rsidRDefault="00DA1341">
      <w:r>
        <w:tab/>
      </w:r>
      <w:r>
        <w:tab/>
      </w:r>
      <w:r>
        <w:tab/>
      </w:r>
      <w:r>
        <w:tab/>
      </w:r>
      <w:r>
        <w:tab/>
      </w:r>
      <w:r>
        <w:tab/>
      </w:r>
      <w:r>
        <w:tab/>
      </w:r>
      <w:r>
        <w:tab/>
      </w:r>
      <w:r>
        <w:tab/>
      </w:r>
      <w:r>
        <w:tab/>
      </w:r>
      <w:r>
        <w:tab/>
        <w:t>No. 21-</w:t>
      </w:r>
      <w:r w:rsidR="00B07CEA">
        <w:t>1</w:t>
      </w:r>
      <w:r w:rsidR="000C0413">
        <w:t>2</w:t>
      </w:r>
    </w:p>
    <w:p w:rsidR="00DA1341" w:rsidRDefault="00DA1341"/>
    <w:p w:rsidR="00DA1341" w:rsidRDefault="00DA1341" w:rsidP="00DA1341">
      <w:pPr>
        <w:jc w:val="center"/>
      </w:pPr>
      <w:r>
        <w:rPr>
          <w:b/>
          <w:u w:val="single"/>
        </w:rPr>
        <w:t>ORDINANCE</w:t>
      </w:r>
    </w:p>
    <w:p w:rsidR="00DA1341" w:rsidRPr="003911B1" w:rsidRDefault="00DA1341" w:rsidP="003911B1">
      <w:pPr>
        <w:jc w:val="both"/>
        <w:rPr>
          <w:b/>
        </w:rPr>
      </w:pPr>
      <w:r w:rsidRPr="003911B1">
        <w:rPr>
          <w:b/>
        </w:rPr>
        <w:tab/>
        <w:t xml:space="preserve">AN ORDINANCE BY THE MAYOR AND COUNCIL OF THE CITY OF SENOIA, GEORGIA, AMENDING THE CODE OF ORDINANCES AT CHAPTER </w:t>
      </w:r>
      <w:r w:rsidR="00B07CEA">
        <w:rPr>
          <w:b/>
        </w:rPr>
        <w:t>74-ZONING</w:t>
      </w:r>
      <w:r w:rsidR="00925C26">
        <w:rPr>
          <w:b/>
        </w:rPr>
        <w:t xml:space="preserve">, </w:t>
      </w:r>
      <w:r w:rsidRPr="003911B1">
        <w:rPr>
          <w:b/>
        </w:rPr>
        <w:t xml:space="preserve">ARTICLE </w:t>
      </w:r>
      <w:r w:rsidR="00B07CEA">
        <w:rPr>
          <w:b/>
        </w:rPr>
        <w:t>V</w:t>
      </w:r>
      <w:r w:rsidR="000C0413">
        <w:rPr>
          <w:b/>
        </w:rPr>
        <w:t>I</w:t>
      </w:r>
      <w:r w:rsidR="00B07CEA">
        <w:rPr>
          <w:b/>
        </w:rPr>
        <w:t>-ZONING</w:t>
      </w:r>
      <w:r w:rsidR="000C0413">
        <w:rPr>
          <w:b/>
        </w:rPr>
        <w:t xml:space="preserve"> DISTRICT STANDARDS AND PERMITTED USES</w:t>
      </w:r>
      <w:r w:rsidRPr="003911B1">
        <w:rPr>
          <w:b/>
        </w:rPr>
        <w:t xml:space="preserve">, SECTION </w:t>
      </w:r>
      <w:r w:rsidR="00B07CEA">
        <w:rPr>
          <w:b/>
        </w:rPr>
        <w:t>74-7</w:t>
      </w:r>
      <w:r w:rsidR="000C0413">
        <w:rPr>
          <w:b/>
        </w:rPr>
        <w:t>6</w:t>
      </w:r>
      <w:r w:rsidR="00B07CEA">
        <w:rPr>
          <w:b/>
        </w:rPr>
        <w:t xml:space="preserve">, </w:t>
      </w:r>
      <w:r w:rsidR="000C0413">
        <w:rPr>
          <w:b/>
        </w:rPr>
        <w:t>DISTRICT, LOT AREA, YARD AND HEIGHT STANDARDS</w:t>
      </w:r>
      <w:r w:rsidR="00925C26">
        <w:rPr>
          <w:b/>
        </w:rPr>
        <w:t>,</w:t>
      </w:r>
      <w:r w:rsidRPr="003911B1">
        <w:rPr>
          <w:b/>
        </w:rPr>
        <w:t xml:space="preserve"> BY </w:t>
      </w:r>
      <w:r w:rsidR="000C0413">
        <w:rPr>
          <w:b/>
        </w:rPr>
        <w:t>CHANGING AND UPDATING TABLE 6.1, THE HEIGHT REQUIREMENTS FOR THE HISTORIC TOWN CENTER-HT</w:t>
      </w:r>
      <w:r w:rsidRPr="003911B1">
        <w:rPr>
          <w:b/>
        </w:rPr>
        <w:t xml:space="preserve"> AND ADOPTING IN LIEU THEREOF </w:t>
      </w:r>
      <w:r w:rsidR="000C0413">
        <w:rPr>
          <w:b/>
        </w:rPr>
        <w:t xml:space="preserve">NEW HEIGHT REQIREMENTS FOR THE HT DESIGNATION, </w:t>
      </w:r>
      <w:r w:rsidR="00601DF9" w:rsidRPr="003911B1">
        <w:rPr>
          <w:b/>
        </w:rPr>
        <w:t xml:space="preserve">SETTING FORTH THE AMENDED WORDING AS FOLLOWS; </w:t>
      </w:r>
      <w:r w:rsidRPr="003911B1">
        <w:rPr>
          <w:b/>
        </w:rPr>
        <w:t>TO PROVIDE AN EFFECTIVE DATE; TO PROVIDE FOR SEVERABILITY; TO RESTATE AND REAFFIRM THE CODE OF SENOIA, GEORGIA, AS MODIFIED HEREBY; TO REPEAL ALL C</w:t>
      </w:r>
      <w:r w:rsidR="00E41CCA">
        <w:rPr>
          <w:b/>
        </w:rPr>
        <w:t>ODE PROVISIONS ORDINANCES, OR P</w:t>
      </w:r>
      <w:r w:rsidRPr="003911B1">
        <w:rPr>
          <w:b/>
        </w:rPr>
        <w:t>ARTS THEREOF, IN CONFLICT HEREWITH; AND FOR OTHER PURPOSES.</w:t>
      </w:r>
    </w:p>
    <w:p w:rsidR="00DA1341" w:rsidRDefault="00DA1341" w:rsidP="003911B1">
      <w:pPr>
        <w:jc w:val="both"/>
        <w:rPr>
          <w:b/>
        </w:rPr>
      </w:pPr>
      <w:r>
        <w:tab/>
      </w:r>
      <w:r w:rsidR="00E268D5">
        <w:rPr>
          <w:b/>
        </w:rPr>
        <w:t>BE IT ORDAINCED BY THE M</w:t>
      </w:r>
      <w:r>
        <w:rPr>
          <w:b/>
        </w:rPr>
        <w:t xml:space="preserve">AYOR AND COUNCIL OF THE CITY OF SENOIA, GEORGIA, AND IT IS ESTABLISHED AS FOLLOWS:  </w:t>
      </w:r>
    </w:p>
    <w:p w:rsidR="00601DF9" w:rsidRDefault="00601DF9" w:rsidP="003911B1">
      <w:pPr>
        <w:jc w:val="both"/>
        <w:rPr>
          <w:b/>
        </w:rPr>
      </w:pPr>
    </w:p>
    <w:p w:rsidR="00601DF9" w:rsidRPr="003911B1" w:rsidRDefault="00601DF9" w:rsidP="003911B1">
      <w:pPr>
        <w:pStyle w:val="ListParagraph"/>
        <w:numPr>
          <w:ilvl w:val="0"/>
          <w:numId w:val="1"/>
        </w:numPr>
        <w:jc w:val="both"/>
      </w:pPr>
      <w:r w:rsidRPr="003911B1">
        <w:t xml:space="preserve">The Code of Senoia, Georgia is hereby amended at Chapter </w:t>
      </w:r>
      <w:r w:rsidR="00D800E2">
        <w:t>74-ZONING</w:t>
      </w:r>
      <w:r w:rsidRPr="003911B1">
        <w:t xml:space="preserve">, Article </w:t>
      </w:r>
      <w:r w:rsidR="00D800E2">
        <w:t>V</w:t>
      </w:r>
      <w:r w:rsidR="000C0413">
        <w:t>I</w:t>
      </w:r>
      <w:r w:rsidR="00D800E2">
        <w:t>, ZONING DISTRICT</w:t>
      </w:r>
      <w:r w:rsidR="000C0413">
        <w:t xml:space="preserve"> </w:t>
      </w:r>
      <w:r w:rsidR="00D800E2">
        <w:t>S</w:t>
      </w:r>
      <w:r w:rsidR="000C0413">
        <w:t>TANDARDS AND PERMITTED USES</w:t>
      </w:r>
      <w:r w:rsidR="00D800E2">
        <w:t>, Section 74-</w:t>
      </w:r>
      <w:r w:rsidR="000C0413">
        <w:t>96</w:t>
      </w:r>
      <w:r w:rsidR="00D800E2">
        <w:t xml:space="preserve">, </w:t>
      </w:r>
      <w:r w:rsidR="000C0413">
        <w:t>DISTRICT, LOT AREA, YARD AND HEIGHT STANDARDS, by</w:t>
      </w:r>
      <w:r w:rsidRPr="003911B1">
        <w:t xml:space="preserve"> </w:t>
      </w:r>
      <w:r w:rsidR="00497F3F">
        <w:t xml:space="preserve">changing and updating Table 6.1, the height requirements for the HT Designation, setting forth the amended wording </w:t>
      </w:r>
      <w:r w:rsidRPr="003911B1">
        <w:t xml:space="preserve">and adopting, in lieu thereof, the following: </w:t>
      </w:r>
    </w:p>
    <w:p w:rsidR="00601DF9" w:rsidRPr="003911B1" w:rsidRDefault="00601DF9" w:rsidP="003911B1">
      <w:pPr>
        <w:pStyle w:val="ListParagraph"/>
        <w:ind w:left="1080"/>
        <w:jc w:val="both"/>
      </w:pPr>
    </w:p>
    <w:p w:rsidR="00497F3F" w:rsidRPr="00497F3F" w:rsidRDefault="00FB532E" w:rsidP="00497F3F">
      <w:pPr>
        <w:shd w:val="clear" w:color="auto" w:fill="FFFFFF"/>
        <w:spacing w:line="420" w:lineRule="atLeast"/>
        <w:textAlignment w:val="center"/>
        <w:rPr>
          <w:rFonts w:ascii="Calibri" w:eastAsia="Times New Roman" w:hAnsi="Calibri" w:cs="Calibri"/>
          <w:b/>
          <w:bCs/>
          <w:color w:val="313335"/>
        </w:rPr>
      </w:pPr>
      <w:r w:rsidRPr="00497F3F">
        <w:rPr>
          <w:b/>
          <w:i/>
        </w:rPr>
        <w:t xml:space="preserve">Sec. </w:t>
      </w:r>
      <w:r w:rsidR="00D800E2" w:rsidRPr="00497F3F">
        <w:rPr>
          <w:b/>
          <w:i/>
        </w:rPr>
        <w:t>74-</w:t>
      </w:r>
      <w:r w:rsidR="00497F3F" w:rsidRPr="00497F3F">
        <w:rPr>
          <w:b/>
          <w:i/>
        </w:rPr>
        <w:t>96-</w:t>
      </w:r>
      <w:r w:rsidR="00497F3F" w:rsidRPr="00497F3F">
        <w:rPr>
          <w:rFonts w:ascii="Calibri" w:eastAsia="Times New Roman" w:hAnsi="Calibri" w:cs="Calibri"/>
          <w:b/>
          <w:bCs/>
          <w:color w:val="313335"/>
        </w:rPr>
        <w:t>District, lot area, yard and height standards.</w:t>
      </w:r>
    </w:p>
    <w:p w:rsidR="00497F3F" w:rsidRDefault="00497F3F" w:rsidP="00497F3F">
      <w:pPr>
        <w:shd w:val="clear" w:color="auto" w:fill="FFFFFF"/>
        <w:spacing w:before="100" w:beforeAutospacing="1" w:after="100" w:afterAutospacing="1" w:line="240" w:lineRule="auto"/>
        <w:jc w:val="both"/>
        <w:rPr>
          <w:rFonts w:ascii="Arial" w:eastAsia="Times New Roman" w:hAnsi="Arial" w:cs="Arial"/>
          <w:color w:val="313335"/>
          <w:spacing w:val="2"/>
          <w:sz w:val="21"/>
          <w:szCs w:val="21"/>
        </w:rPr>
      </w:pPr>
      <w:r w:rsidRPr="00497F3F">
        <w:rPr>
          <w:rFonts w:ascii="Arial" w:eastAsia="Times New Roman" w:hAnsi="Arial" w:cs="Arial"/>
          <w:color w:val="313335"/>
          <w:spacing w:val="2"/>
          <w:sz w:val="21"/>
          <w:szCs w:val="21"/>
        </w:rPr>
        <w:t>The requirements regarding lot size, building size, and building placement on the lot for each zoning district shall be met as indicated in supplemental regulations and </w:t>
      </w:r>
      <w:r>
        <w:rPr>
          <w:rFonts w:ascii="Arial" w:eastAsia="Times New Roman" w:hAnsi="Arial" w:cs="Arial"/>
          <w:color w:val="313335"/>
          <w:spacing w:val="2"/>
          <w:sz w:val="21"/>
          <w:szCs w:val="21"/>
        </w:rPr>
        <w:t>Table 6.1</w:t>
      </w:r>
      <w:r w:rsidRPr="00497F3F">
        <w:rPr>
          <w:rFonts w:ascii="Arial" w:eastAsia="Times New Roman" w:hAnsi="Arial" w:cs="Arial"/>
          <w:color w:val="313335"/>
          <w:spacing w:val="2"/>
          <w:sz w:val="21"/>
          <w:szCs w:val="21"/>
        </w:rPr>
        <w:t>: zoning district area yard and height requirements.</w:t>
      </w:r>
    </w:p>
    <w:p w:rsidR="006A0A3C" w:rsidRDefault="006A0A3C" w:rsidP="00497F3F">
      <w:pPr>
        <w:shd w:val="clear" w:color="auto" w:fill="FFFFFF"/>
        <w:spacing w:before="100" w:beforeAutospacing="1" w:after="100" w:afterAutospacing="1" w:line="240" w:lineRule="auto"/>
        <w:jc w:val="both"/>
        <w:rPr>
          <w:rFonts w:ascii="Arial" w:eastAsia="Times New Roman" w:hAnsi="Arial" w:cs="Arial"/>
          <w:color w:val="313335"/>
          <w:spacing w:val="2"/>
          <w:sz w:val="21"/>
          <w:szCs w:val="21"/>
        </w:rPr>
      </w:pPr>
    </w:p>
    <w:tbl>
      <w:tblPr>
        <w:tblStyle w:val="TableGrid"/>
        <w:tblW w:w="10335" w:type="dxa"/>
        <w:tblInd w:w="-440" w:type="dxa"/>
        <w:tblLook w:val="04A0" w:firstRow="1" w:lastRow="0" w:firstColumn="1" w:lastColumn="0" w:noHBand="0" w:noVBand="1"/>
      </w:tblPr>
      <w:tblGrid>
        <w:gridCol w:w="979"/>
        <w:gridCol w:w="1152"/>
        <w:gridCol w:w="1143"/>
        <w:gridCol w:w="1127"/>
        <w:gridCol w:w="831"/>
        <w:gridCol w:w="1127"/>
        <w:gridCol w:w="831"/>
        <w:gridCol w:w="1127"/>
        <w:gridCol w:w="831"/>
        <w:gridCol w:w="1187"/>
      </w:tblGrid>
      <w:tr w:rsidR="006A0A3C" w:rsidTr="006A0A3C">
        <w:tc>
          <w:tcPr>
            <w:tcW w:w="991" w:type="dxa"/>
          </w:tcPr>
          <w:p w:rsidR="00497F3F" w:rsidRDefault="00497F3F" w:rsidP="00497F3F">
            <w:pPr>
              <w:spacing w:before="100" w:beforeAutospacing="1" w:after="100" w:afterAutospacing="1"/>
              <w:jc w:val="both"/>
              <w:rPr>
                <w:rFonts w:ascii="Arial" w:eastAsia="Times New Roman" w:hAnsi="Arial" w:cs="Arial"/>
                <w:color w:val="313335"/>
                <w:spacing w:val="2"/>
                <w:sz w:val="21"/>
                <w:szCs w:val="21"/>
              </w:rPr>
            </w:pPr>
            <w:r>
              <w:rPr>
                <w:rFonts w:ascii="Arial" w:hAnsi="Arial" w:cs="Arial"/>
                <w:b/>
                <w:bCs/>
                <w:color w:val="313335"/>
                <w:sz w:val="21"/>
                <w:szCs w:val="21"/>
                <w:shd w:val="clear" w:color="auto" w:fill="FFFFFF"/>
              </w:rPr>
              <w:t>Zoning District</w:t>
            </w:r>
          </w:p>
        </w:tc>
        <w:tc>
          <w:tcPr>
            <w:tcW w:w="1156" w:type="dxa"/>
          </w:tcPr>
          <w:p w:rsidR="00497F3F" w:rsidRDefault="00497F3F" w:rsidP="00497F3F">
            <w:pPr>
              <w:spacing w:before="100" w:beforeAutospacing="1" w:after="100" w:afterAutospacing="1"/>
              <w:jc w:val="both"/>
              <w:rPr>
                <w:rFonts w:ascii="Arial" w:eastAsia="Times New Roman" w:hAnsi="Arial" w:cs="Arial"/>
                <w:color w:val="313335"/>
                <w:spacing w:val="2"/>
                <w:sz w:val="21"/>
                <w:szCs w:val="21"/>
              </w:rPr>
            </w:pPr>
            <w:r>
              <w:rPr>
                <w:rFonts w:ascii="Arial" w:hAnsi="Arial" w:cs="Arial"/>
                <w:b/>
                <w:bCs/>
                <w:color w:val="313335"/>
                <w:sz w:val="21"/>
                <w:szCs w:val="21"/>
                <w:shd w:val="clear" w:color="auto" w:fill="FFFFFF"/>
              </w:rPr>
              <w:t>Minimum</w:t>
            </w:r>
            <w:r>
              <w:rPr>
                <w:rFonts w:ascii="Arial" w:hAnsi="Arial" w:cs="Arial"/>
                <w:b/>
                <w:bCs/>
                <w:color w:val="313335"/>
                <w:sz w:val="21"/>
                <w:szCs w:val="21"/>
              </w:rPr>
              <w:br/>
            </w:r>
            <w:r>
              <w:rPr>
                <w:rFonts w:ascii="Arial" w:hAnsi="Arial" w:cs="Arial"/>
                <w:b/>
                <w:bCs/>
                <w:color w:val="313335"/>
                <w:sz w:val="21"/>
                <w:szCs w:val="21"/>
                <w:shd w:val="clear" w:color="auto" w:fill="FFFFFF"/>
              </w:rPr>
              <w:t>Lot Area</w:t>
            </w:r>
          </w:p>
        </w:tc>
        <w:tc>
          <w:tcPr>
            <w:tcW w:w="1145" w:type="dxa"/>
          </w:tcPr>
          <w:p w:rsidR="00497F3F" w:rsidRDefault="00497F3F" w:rsidP="00497F3F">
            <w:pPr>
              <w:spacing w:before="100" w:beforeAutospacing="1" w:after="100" w:afterAutospacing="1"/>
              <w:jc w:val="both"/>
              <w:rPr>
                <w:rFonts w:ascii="Arial" w:eastAsia="Times New Roman" w:hAnsi="Arial" w:cs="Arial"/>
                <w:color w:val="313335"/>
                <w:spacing w:val="2"/>
                <w:sz w:val="21"/>
                <w:szCs w:val="21"/>
              </w:rPr>
            </w:pPr>
            <w:r>
              <w:rPr>
                <w:rFonts w:ascii="Arial" w:hAnsi="Arial" w:cs="Arial"/>
                <w:b/>
                <w:bCs/>
                <w:color w:val="313335"/>
                <w:sz w:val="21"/>
                <w:szCs w:val="21"/>
                <w:shd w:val="clear" w:color="auto" w:fill="FFFFFF"/>
              </w:rPr>
              <w:t>Minimum</w:t>
            </w:r>
            <w:r>
              <w:rPr>
                <w:rFonts w:ascii="Arial" w:hAnsi="Arial" w:cs="Arial"/>
                <w:b/>
                <w:bCs/>
                <w:color w:val="313335"/>
                <w:sz w:val="21"/>
                <w:szCs w:val="21"/>
              </w:rPr>
              <w:br/>
            </w:r>
            <w:r>
              <w:rPr>
                <w:rFonts w:ascii="Arial" w:hAnsi="Arial" w:cs="Arial"/>
                <w:b/>
                <w:bCs/>
                <w:color w:val="313335"/>
                <w:sz w:val="21"/>
                <w:szCs w:val="21"/>
                <w:shd w:val="clear" w:color="auto" w:fill="FFFFFF"/>
              </w:rPr>
              <w:t>Lot</w:t>
            </w:r>
            <w:r>
              <w:rPr>
                <w:rFonts w:ascii="Arial" w:hAnsi="Arial" w:cs="Arial"/>
                <w:b/>
                <w:bCs/>
                <w:color w:val="313335"/>
                <w:sz w:val="21"/>
                <w:szCs w:val="21"/>
              </w:rPr>
              <w:br/>
            </w:r>
            <w:r>
              <w:rPr>
                <w:rFonts w:ascii="Arial" w:hAnsi="Arial" w:cs="Arial"/>
                <w:b/>
                <w:bCs/>
                <w:color w:val="313335"/>
                <w:sz w:val="21"/>
                <w:szCs w:val="21"/>
                <w:shd w:val="clear" w:color="auto" w:fill="FFFFFF"/>
              </w:rPr>
              <w:t>Width at</w:t>
            </w:r>
            <w:r>
              <w:rPr>
                <w:rFonts w:ascii="Arial" w:hAnsi="Arial" w:cs="Arial"/>
                <w:b/>
                <w:bCs/>
                <w:color w:val="313335"/>
                <w:sz w:val="21"/>
                <w:szCs w:val="21"/>
              </w:rPr>
              <w:br/>
            </w:r>
            <w:r>
              <w:rPr>
                <w:rFonts w:ascii="Arial" w:hAnsi="Arial" w:cs="Arial"/>
                <w:b/>
                <w:bCs/>
                <w:color w:val="313335"/>
                <w:sz w:val="21"/>
                <w:szCs w:val="21"/>
                <w:shd w:val="clear" w:color="auto" w:fill="FFFFFF"/>
              </w:rPr>
              <w:t>Setback</w:t>
            </w:r>
            <w:r>
              <w:rPr>
                <w:rFonts w:ascii="Arial" w:hAnsi="Arial" w:cs="Arial"/>
                <w:b/>
                <w:bCs/>
                <w:color w:val="313335"/>
                <w:sz w:val="21"/>
                <w:szCs w:val="21"/>
              </w:rPr>
              <w:br/>
            </w:r>
            <w:r>
              <w:rPr>
                <w:rFonts w:ascii="Arial" w:hAnsi="Arial" w:cs="Arial"/>
                <w:b/>
                <w:bCs/>
                <w:color w:val="313335"/>
                <w:sz w:val="21"/>
                <w:szCs w:val="21"/>
                <w:shd w:val="clear" w:color="auto" w:fill="FFFFFF"/>
              </w:rPr>
              <w:t>line</w:t>
            </w:r>
          </w:p>
        </w:tc>
        <w:tc>
          <w:tcPr>
            <w:tcW w:w="1939" w:type="dxa"/>
            <w:gridSpan w:val="2"/>
          </w:tcPr>
          <w:p w:rsidR="00497F3F" w:rsidRDefault="006A0A3C" w:rsidP="00497F3F">
            <w:pPr>
              <w:spacing w:before="100" w:beforeAutospacing="1" w:after="100" w:afterAutospacing="1"/>
              <w:jc w:val="both"/>
              <w:rPr>
                <w:rFonts w:ascii="Arial" w:eastAsia="Times New Roman" w:hAnsi="Arial" w:cs="Arial"/>
                <w:color w:val="313335"/>
                <w:spacing w:val="2"/>
                <w:sz w:val="21"/>
                <w:szCs w:val="21"/>
              </w:rPr>
            </w:pPr>
            <w:r>
              <w:rPr>
                <w:rFonts w:ascii="Arial" w:hAnsi="Arial" w:cs="Arial"/>
                <w:b/>
                <w:bCs/>
                <w:color w:val="313335"/>
                <w:sz w:val="21"/>
                <w:szCs w:val="21"/>
                <w:shd w:val="clear" w:color="auto" w:fill="FFFFFF"/>
              </w:rPr>
              <w:t>Front Yard Width</w:t>
            </w:r>
            <w:r>
              <w:rPr>
                <w:rFonts w:ascii="Arial" w:hAnsi="Arial" w:cs="Arial"/>
                <w:b/>
                <w:bCs/>
                <w:color w:val="313335"/>
                <w:sz w:val="21"/>
                <w:szCs w:val="21"/>
              </w:rPr>
              <w:br/>
            </w:r>
            <w:r>
              <w:rPr>
                <w:rFonts w:ascii="Arial" w:hAnsi="Arial" w:cs="Arial"/>
                <w:b/>
                <w:bCs/>
                <w:color w:val="313335"/>
                <w:sz w:val="21"/>
                <w:szCs w:val="21"/>
                <w:shd w:val="clear" w:color="auto" w:fill="FFFFFF"/>
              </w:rPr>
              <w:t>(feet)</w:t>
            </w:r>
          </w:p>
        </w:tc>
        <w:tc>
          <w:tcPr>
            <w:tcW w:w="1939" w:type="dxa"/>
            <w:gridSpan w:val="2"/>
          </w:tcPr>
          <w:p w:rsidR="00497F3F" w:rsidRDefault="006A0A3C" w:rsidP="00497F3F">
            <w:pPr>
              <w:spacing w:before="100" w:beforeAutospacing="1" w:after="100" w:afterAutospacing="1"/>
              <w:jc w:val="both"/>
              <w:rPr>
                <w:rFonts w:ascii="Arial" w:eastAsia="Times New Roman" w:hAnsi="Arial" w:cs="Arial"/>
                <w:color w:val="313335"/>
                <w:spacing w:val="2"/>
                <w:sz w:val="21"/>
                <w:szCs w:val="21"/>
              </w:rPr>
            </w:pPr>
            <w:r>
              <w:rPr>
                <w:rFonts w:ascii="Arial" w:hAnsi="Arial" w:cs="Arial"/>
                <w:b/>
                <w:bCs/>
                <w:color w:val="313335"/>
                <w:sz w:val="21"/>
                <w:szCs w:val="21"/>
                <w:shd w:val="clear" w:color="auto" w:fill="FFFFFF"/>
              </w:rPr>
              <w:t>Side Yard</w:t>
            </w:r>
            <w:r>
              <w:rPr>
                <w:rFonts w:ascii="Arial" w:hAnsi="Arial" w:cs="Arial"/>
                <w:b/>
                <w:bCs/>
                <w:color w:val="313335"/>
                <w:sz w:val="21"/>
                <w:szCs w:val="21"/>
              </w:rPr>
              <w:br/>
            </w:r>
            <w:r>
              <w:rPr>
                <w:rFonts w:ascii="Arial" w:hAnsi="Arial" w:cs="Arial"/>
                <w:b/>
                <w:bCs/>
                <w:color w:val="313335"/>
                <w:sz w:val="21"/>
                <w:szCs w:val="21"/>
                <w:shd w:val="clear" w:color="auto" w:fill="FFFFFF"/>
              </w:rPr>
              <w:t>(feet)</w:t>
            </w:r>
          </w:p>
        </w:tc>
        <w:tc>
          <w:tcPr>
            <w:tcW w:w="1939" w:type="dxa"/>
            <w:gridSpan w:val="2"/>
          </w:tcPr>
          <w:p w:rsidR="00497F3F" w:rsidRDefault="006A0A3C" w:rsidP="00497F3F">
            <w:pPr>
              <w:spacing w:before="100" w:beforeAutospacing="1" w:after="100" w:afterAutospacing="1"/>
              <w:jc w:val="both"/>
              <w:rPr>
                <w:rFonts w:ascii="Arial" w:eastAsia="Times New Roman" w:hAnsi="Arial" w:cs="Arial"/>
                <w:color w:val="313335"/>
                <w:spacing w:val="2"/>
                <w:sz w:val="21"/>
                <w:szCs w:val="21"/>
              </w:rPr>
            </w:pPr>
            <w:r>
              <w:rPr>
                <w:rFonts w:ascii="Arial" w:hAnsi="Arial" w:cs="Arial"/>
                <w:b/>
                <w:bCs/>
                <w:color w:val="313335"/>
                <w:sz w:val="21"/>
                <w:szCs w:val="21"/>
                <w:shd w:val="clear" w:color="auto" w:fill="FFFFFF"/>
              </w:rPr>
              <w:t>Rear Yard</w:t>
            </w:r>
            <w:r>
              <w:rPr>
                <w:rFonts w:ascii="Arial" w:hAnsi="Arial" w:cs="Arial"/>
                <w:b/>
                <w:bCs/>
                <w:color w:val="313335"/>
                <w:sz w:val="21"/>
                <w:szCs w:val="21"/>
              </w:rPr>
              <w:br/>
            </w:r>
            <w:r>
              <w:rPr>
                <w:rFonts w:ascii="Arial" w:hAnsi="Arial" w:cs="Arial"/>
                <w:b/>
                <w:bCs/>
                <w:color w:val="313335"/>
                <w:sz w:val="21"/>
                <w:szCs w:val="21"/>
                <w:shd w:val="clear" w:color="auto" w:fill="FFFFFF"/>
              </w:rPr>
              <w:t>(feet)</w:t>
            </w:r>
          </w:p>
        </w:tc>
        <w:tc>
          <w:tcPr>
            <w:tcW w:w="1226" w:type="dxa"/>
          </w:tcPr>
          <w:p w:rsidR="00497F3F" w:rsidRDefault="006A0A3C" w:rsidP="00497F3F">
            <w:pPr>
              <w:spacing w:before="100" w:beforeAutospacing="1" w:after="100" w:afterAutospacing="1"/>
              <w:jc w:val="both"/>
              <w:rPr>
                <w:rFonts w:ascii="Arial" w:eastAsia="Times New Roman" w:hAnsi="Arial" w:cs="Arial"/>
                <w:color w:val="313335"/>
                <w:spacing w:val="2"/>
                <w:sz w:val="21"/>
                <w:szCs w:val="21"/>
              </w:rPr>
            </w:pPr>
            <w:r>
              <w:rPr>
                <w:rFonts w:ascii="Arial" w:hAnsi="Arial" w:cs="Arial"/>
                <w:b/>
                <w:bCs/>
                <w:color w:val="313335"/>
                <w:sz w:val="21"/>
                <w:szCs w:val="21"/>
                <w:shd w:val="clear" w:color="auto" w:fill="FFFFFF"/>
              </w:rPr>
              <w:t>Max.</w:t>
            </w:r>
            <w:r>
              <w:rPr>
                <w:rFonts w:ascii="Arial" w:hAnsi="Arial" w:cs="Arial"/>
                <w:b/>
                <w:bCs/>
                <w:color w:val="313335"/>
                <w:sz w:val="21"/>
                <w:szCs w:val="21"/>
              </w:rPr>
              <w:br/>
            </w:r>
            <w:r>
              <w:rPr>
                <w:rFonts w:ascii="Arial" w:hAnsi="Arial" w:cs="Arial"/>
                <w:b/>
                <w:bCs/>
                <w:color w:val="313335"/>
                <w:sz w:val="21"/>
                <w:szCs w:val="21"/>
                <w:shd w:val="clear" w:color="auto" w:fill="FFFFFF"/>
              </w:rPr>
              <w:t>Building</w:t>
            </w:r>
            <w:r>
              <w:rPr>
                <w:rFonts w:ascii="Arial" w:hAnsi="Arial" w:cs="Arial"/>
                <w:b/>
                <w:bCs/>
                <w:color w:val="313335"/>
                <w:sz w:val="21"/>
                <w:szCs w:val="21"/>
              </w:rPr>
              <w:br/>
            </w:r>
            <w:r>
              <w:rPr>
                <w:rFonts w:ascii="Arial" w:hAnsi="Arial" w:cs="Arial"/>
                <w:b/>
                <w:bCs/>
                <w:color w:val="313335"/>
                <w:sz w:val="21"/>
                <w:szCs w:val="21"/>
                <w:shd w:val="clear" w:color="auto" w:fill="FFFFFF"/>
              </w:rPr>
              <w:t>Height</w:t>
            </w:r>
            <w:r>
              <w:rPr>
                <w:rFonts w:ascii="Arial" w:hAnsi="Arial" w:cs="Arial"/>
                <w:b/>
                <w:bCs/>
                <w:color w:val="313335"/>
                <w:sz w:val="21"/>
                <w:szCs w:val="21"/>
              </w:rPr>
              <w:br/>
            </w:r>
            <w:r>
              <w:rPr>
                <w:rFonts w:ascii="Arial" w:hAnsi="Arial" w:cs="Arial"/>
                <w:b/>
                <w:bCs/>
                <w:color w:val="313335"/>
                <w:sz w:val="21"/>
                <w:szCs w:val="21"/>
                <w:shd w:val="clear" w:color="auto" w:fill="FFFFFF"/>
              </w:rPr>
              <w:t>(feet)</w:t>
            </w:r>
          </w:p>
        </w:tc>
      </w:tr>
      <w:tr w:rsidR="006A0A3C" w:rsidTr="006A0A3C">
        <w:tc>
          <w:tcPr>
            <w:tcW w:w="991" w:type="dxa"/>
          </w:tcPr>
          <w:p w:rsidR="006A0A3C" w:rsidRDefault="006A0A3C" w:rsidP="00497F3F">
            <w:pPr>
              <w:spacing w:before="100" w:beforeAutospacing="1" w:after="100" w:afterAutospacing="1"/>
              <w:jc w:val="both"/>
              <w:rPr>
                <w:rFonts w:ascii="Arial" w:eastAsia="Times New Roman" w:hAnsi="Arial" w:cs="Arial"/>
                <w:color w:val="313335"/>
                <w:spacing w:val="2"/>
                <w:sz w:val="21"/>
                <w:szCs w:val="21"/>
              </w:rPr>
            </w:pPr>
          </w:p>
        </w:tc>
        <w:tc>
          <w:tcPr>
            <w:tcW w:w="1156" w:type="dxa"/>
          </w:tcPr>
          <w:p w:rsidR="006A0A3C" w:rsidRDefault="006A0A3C" w:rsidP="00497F3F">
            <w:pPr>
              <w:spacing w:before="100" w:beforeAutospacing="1" w:after="100" w:afterAutospacing="1"/>
              <w:jc w:val="both"/>
              <w:rPr>
                <w:rFonts w:ascii="Arial" w:eastAsia="Times New Roman" w:hAnsi="Arial" w:cs="Arial"/>
                <w:color w:val="313335"/>
                <w:spacing w:val="2"/>
                <w:sz w:val="21"/>
                <w:szCs w:val="21"/>
              </w:rPr>
            </w:pPr>
          </w:p>
        </w:tc>
        <w:tc>
          <w:tcPr>
            <w:tcW w:w="1145" w:type="dxa"/>
          </w:tcPr>
          <w:p w:rsidR="006A0A3C" w:rsidRDefault="006A0A3C" w:rsidP="00497F3F">
            <w:pPr>
              <w:spacing w:before="100" w:beforeAutospacing="1" w:after="100" w:afterAutospacing="1"/>
              <w:jc w:val="both"/>
              <w:rPr>
                <w:rFonts w:ascii="Arial" w:eastAsia="Times New Roman" w:hAnsi="Arial" w:cs="Arial"/>
                <w:color w:val="313335"/>
                <w:spacing w:val="2"/>
                <w:sz w:val="21"/>
                <w:szCs w:val="21"/>
              </w:rPr>
            </w:pPr>
          </w:p>
        </w:tc>
        <w:tc>
          <w:tcPr>
            <w:tcW w:w="1127" w:type="dxa"/>
          </w:tcPr>
          <w:p w:rsidR="006A0A3C" w:rsidRDefault="006A0A3C" w:rsidP="00497F3F">
            <w:pPr>
              <w:spacing w:before="100" w:beforeAutospacing="1" w:after="100" w:afterAutospacing="1"/>
              <w:jc w:val="both"/>
              <w:rPr>
                <w:rFonts w:ascii="Arial" w:eastAsia="Times New Roman" w:hAnsi="Arial" w:cs="Arial"/>
                <w:color w:val="313335"/>
                <w:spacing w:val="2"/>
                <w:sz w:val="21"/>
                <w:szCs w:val="21"/>
              </w:rPr>
            </w:pPr>
            <w:r>
              <w:rPr>
                <w:rFonts w:ascii="Arial" w:hAnsi="Arial" w:cs="Arial"/>
                <w:b/>
                <w:bCs/>
                <w:color w:val="313335"/>
                <w:sz w:val="21"/>
                <w:szCs w:val="21"/>
                <w:shd w:val="clear" w:color="auto" w:fill="FFFFFF"/>
              </w:rPr>
              <w:t>Arterial</w:t>
            </w:r>
            <w:r>
              <w:rPr>
                <w:rFonts w:ascii="Arial" w:hAnsi="Arial" w:cs="Arial"/>
                <w:b/>
                <w:bCs/>
                <w:color w:val="313335"/>
                <w:sz w:val="21"/>
                <w:szCs w:val="21"/>
              </w:rPr>
              <w:br/>
            </w:r>
            <w:r>
              <w:rPr>
                <w:rFonts w:ascii="Arial" w:hAnsi="Arial" w:cs="Arial"/>
                <w:b/>
                <w:bCs/>
                <w:color w:val="313335"/>
                <w:sz w:val="21"/>
                <w:szCs w:val="21"/>
                <w:shd w:val="clear" w:color="auto" w:fill="FFFFFF"/>
              </w:rPr>
              <w:t>and</w:t>
            </w:r>
            <w:r>
              <w:rPr>
                <w:rFonts w:ascii="Arial" w:hAnsi="Arial" w:cs="Arial"/>
                <w:b/>
                <w:bCs/>
                <w:color w:val="313335"/>
                <w:sz w:val="21"/>
                <w:szCs w:val="21"/>
              </w:rPr>
              <w:br/>
            </w:r>
            <w:r>
              <w:rPr>
                <w:rFonts w:ascii="Arial" w:hAnsi="Arial" w:cs="Arial"/>
                <w:b/>
                <w:bCs/>
                <w:color w:val="313335"/>
                <w:sz w:val="21"/>
                <w:szCs w:val="21"/>
                <w:shd w:val="clear" w:color="auto" w:fill="FFFFFF"/>
              </w:rPr>
              <w:t>Collector</w:t>
            </w:r>
          </w:p>
        </w:tc>
        <w:tc>
          <w:tcPr>
            <w:tcW w:w="812" w:type="dxa"/>
          </w:tcPr>
          <w:p w:rsidR="006A0A3C" w:rsidRDefault="006A0A3C" w:rsidP="00497F3F">
            <w:pPr>
              <w:spacing w:before="100" w:beforeAutospacing="1" w:after="100" w:afterAutospacing="1"/>
              <w:jc w:val="both"/>
              <w:rPr>
                <w:rFonts w:ascii="Arial" w:eastAsia="Times New Roman" w:hAnsi="Arial" w:cs="Arial"/>
                <w:color w:val="313335"/>
                <w:spacing w:val="2"/>
                <w:sz w:val="21"/>
                <w:szCs w:val="21"/>
              </w:rPr>
            </w:pPr>
            <w:r>
              <w:rPr>
                <w:rFonts w:ascii="Arial" w:hAnsi="Arial" w:cs="Arial"/>
                <w:b/>
                <w:bCs/>
                <w:color w:val="313335"/>
                <w:sz w:val="21"/>
                <w:szCs w:val="21"/>
                <w:shd w:val="clear" w:color="auto" w:fill="FFFFFF"/>
              </w:rPr>
              <w:t>Local</w:t>
            </w:r>
            <w:r>
              <w:rPr>
                <w:rFonts w:ascii="Arial" w:hAnsi="Arial" w:cs="Arial"/>
                <w:b/>
                <w:bCs/>
                <w:color w:val="313335"/>
                <w:sz w:val="21"/>
                <w:szCs w:val="21"/>
              </w:rPr>
              <w:br/>
            </w:r>
            <w:r>
              <w:rPr>
                <w:rFonts w:ascii="Arial" w:hAnsi="Arial" w:cs="Arial"/>
                <w:b/>
                <w:bCs/>
                <w:color w:val="313335"/>
                <w:sz w:val="21"/>
                <w:szCs w:val="21"/>
                <w:shd w:val="clear" w:color="auto" w:fill="FFFFFF"/>
              </w:rPr>
              <w:t>Street</w:t>
            </w:r>
          </w:p>
        </w:tc>
        <w:tc>
          <w:tcPr>
            <w:tcW w:w="1127" w:type="dxa"/>
          </w:tcPr>
          <w:p w:rsidR="006A0A3C" w:rsidRDefault="006A0A3C" w:rsidP="00497F3F">
            <w:pPr>
              <w:spacing w:before="100" w:beforeAutospacing="1" w:after="100" w:afterAutospacing="1"/>
              <w:jc w:val="both"/>
              <w:rPr>
                <w:rFonts w:ascii="Arial" w:eastAsia="Times New Roman" w:hAnsi="Arial" w:cs="Arial"/>
                <w:color w:val="313335"/>
                <w:spacing w:val="2"/>
                <w:sz w:val="21"/>
                <w:szCs w:val="21"/>
              </w:rPr>
            </w:pPr>
            <w:r>
              <w:rPr>
                <w:rFonts w:ascii="Arial" w:hAnsi="Arial" w:cs="Arial"/>
                <w:b/>
                <w:bCs/>
                <w:color w:val="313335"/>
                <w:sz w:val="21"/>
                <w:szCs w:val="21"/>
                <w:shd w:val="clear" w:color="auto" w:fill="FFFFFF"/>
              </w:rPr>
              <w:t>Arterial</w:t>
            </w:r>
            <w:r>
              <w:rPr>
                <w:rFonts w:ascii="Arial" w:hAnsi="Arial" w:cs="Arial"/>
                <w:b/>
                <w:bCs/>
                <w:color w:val="313335"/>
                <w:sz w:val="21"/>
                <w:szCs w:val="21"/>
              </w:rPr>
              <w:br/>
            </w:r>
            <w:r>
              <w:rPr>
                <w:rFonts w:ascii="Arial" w:hAnsi="Arial" w:cs="Arial"/>
                <w:b/>
                <w:bCs/>
                <w:color w:val="313335"/>
                <w:sz w:val="21"/>
                <w:szCs w:val="21"/>
                <w:shd w:val="clear" w:color="auto" w:fill="FFFFFF"/>
              </w:rPr>
              <w:t>and</w:t>
            </w:r>
            <w:r>
              <w:rPr>
                <w:rFonts w:ascii="Arial" w:hAnsi="Arial" w:cs="Arial"/>
                <w:b/>
                <w:bCs/>
                <w:color w:val="313335"/>
                <w:sz w:val="21"/>
                <w:szCs w:val="21"/>
              </w:rPr>
              <w:br/>
            </w:r>
            <w:r>
              <w:rPr>
                <w:rFonts w:ascii="Arial" w:hAnsi="Arial" w:cs="Arial"/>
                <w:b/>
                <w:bCs/>
                <w:color w:val="313335"/>
                <w:sz w:val="21"/>
                <w:szCs w:val="21"/>
                <w:shd w:val="clear" w:color="auto" w:fill="FFFFFF"/>
              </w:rPr>
              <w:t>Collector</w:t>
            </w:r>
          </w:p>
        </w:tc>
        <w:tc>
          <w:tcPr>
            <w:tcW w:w="812" w:type="dxa"/>
          </w:tcPr>
          <w:p w:rsidR="006A0A3C" w:rsidRDefault="006A0A3C" w:rsidP="00497F3F">
            <w:pPr>
              <w:spacing w:before="100" w:beforeAutospacing="1" w:after="100" w:afterAutospacing="1"/>
              <w:jc w:val="both"/>
              <w:rPr>
                <w:rFonts w:ascii="Arial" w:eastAsia="Times New Roman" w:hAnsi="Arial" w:cs="Arial"/>
                <w:color w:val="313335"/>
                <w:spacing w:val="2"/>
                <w:sz w:val="21"/>
                <w:szCs w:val="21"/>
              </w:rPr>
            </w:pPr>
            <w:r>
              <w:rPr>
                <w:rFonts w:ascii="Arial" w:hAnsi="Arial" w:cs="Arial"/>
                <w:b/>
                <w:bCs/>
                <w:color w:val="313335"/>
                <w:sz w:val="21"/>
                <w:szCs w:val="21"/>
                <w:shd w:val="clear" w:color="auto" w:fill="FFFFFF"/>
              </w:rPr>
              <w:t>Local</w:t>
            </w:r>
            <w:r>
              <w:rPr>
                <w:rFonts w:ascii="Arial" w:hAnsi="Arial" w:cs="Arial"/>
                <w:b/>
                <w:bCs/>
                <w:color w:val="313335"/>
                <w:sz w:val="21"/>
                <w:szCs w:val="21"/>
              </w:rPr>
              <w:br/>
            </w:r>
            <w:r>
              <w:rPr>
                <w:rFonts w:ascii="Arial" w:hAnsi="Arial" w:cs="Arial"/>
                <w:b/>
                <w:bCs/>
                <w:color w:val="313335"/>
                <w:sz w:val="21"/>
                <w:szCs w:val="21"/>
                <w:shd w:val="clear" w:color="auto" w:fill="FFFFFF"/>
              </w:rPr>
              <w:t>Street</w:t>
            </w:r>
          </w:p>
        </w:tc>
        <w:tc>
          <w:tcPr>
            <w:tcW w:w="1127" w:type="dxa"/>
          </w:tcPr>
          <w:p w:rsidR="006A0A3C" w:rsidRDefault="006A0A3C" w:rsidP="00497F3F">
            <w:pPr>
              <w:spacing w:before="100" w:beforeAutospacing="1" w:after="100" w:afterAutospacing="1"/>
              <w:jc w:val="both"/>
              <w:rPr>
                <w:rFonts w:ascii="Arial" w:eastAsia="Times New Roman" w:hAnsi="Arial" w:cs="Arial"/>
                <w:color w:val="313335"/>
                <w:spacing w:val="2"/>
                <w:sz w:val="21"/>
                <w:szCs w:val="21"/>
              </w:rPr>
            </w:pPr>
            <w:r>
              <w:rPr>
                <w:rFonts w:ascii="Arial" w:hAnsi="Arial" w:cs="Arial"/>
                <w:b/>
                <w:bCs/>
                <w:color w:val="313335"/>
                <w:sz w:val="21"/>
                <w:szCs w:val="21"/>
                <w:shd w:val="clear" w:color="auto" w:fill="FFFFFF"/>
              </w:rPr>
              <w:t>Arterial</w:t>
            </w:r>
            <w:r>
              <w:rPr>
                <w:rFonts w:ascii="Arial" w:hAnsi="Arial" w:cs="Arial"/>
                <w:b/>
                <w:bCs/>
                <w:color w:val="313335"/>
                <w:sz w:val="21"/>
                <w:szCs w:val="21"/>
              </w:rPr>
              <w:br/>
            </w:r>
            <w:r>
              <w:rPr>
                <w:rFonts w:ascii="Arial" w:hAnsi="Arial" w:cs="Arial"/>
                <w:b/>
                <w:bCs/>
                <w:color w:val="313335"/>
                <w:sz w:val="21"/>
                <w:szCs w:val="21"/>
                <w:shd w:val="clear" w:color="auto" w:fill="FFFFFF"/>
              </w:rPr>
              <w:t>and</w:t>
            </w:r>
            <w:r>
              <w:rPr>
                <w:rFonts w:ascii="Arial" w:hAnsi="Arial" w:cs="Arial"/>
                <w:b/>
                <w:bCs/>
                <w:color w:val="313335"/>
                <w:sz w:val="21"/>
                <w:szCs w:val="21"/>
              </w:rPr>
              <w:br/>
            </w:r>
            <w:r>
              <w:rPr>
                <w:rFonts w:ascii="Arial" w:hAnsi="Arial" w:cs="Arial"/>
                <w:b/>
                <w:bCs/>
                <w:color w:val="313335"/>
                <w:sz w:val="21"/>
                <w:szCs w:val="21"/>
                <w:shd w:val="clear" w:color="auto" w:fill="FFFFFF"/>
              </w:rPr>
              <w:t>Collector</w:t>
            </w:r>
          </w:p>
        </w:tc>
        <w:tc>
          <w:tcPr>
            <w:tcW w:w="812" w:type="dxa"/>
          </w:tcPr>
          <w:p w:rsidR="006A0A3C" w:rsidRDefault="006A0A3C" w:rsidP="00497F3F">
            <w:pPr>
              <w:spacing w:before="100" w:beforeAutospacing="1" w:after="100" w:afterAutospacing="1"/>
              <w:jc w:val="both"/>
              <w:rPr>
                <w:rFonts w:ascii="Arial" w:eastAsia="Times New Roman" w:hAnsi="Arial" w:cs="Arial"/>
                <w:color w:val="313335"/>
                <w:spacing w:val="2"/>
                <w:sz w:val="21"/>
                <w:szCs w:val="21"/>
              </w:rPr>
            </w:pPr>
            <w:r>
              <w:rPr>
                <w:rFonts w:ascii="Arial" w:hAnsi="Arial" w:cs="Arial"/>
                <w:b/>
                <w:bCs/>
                <w:color w:val="313335"/>
                <w:sz w:val="21"/>
                <w:szCs w:val="21"/>
                <w:shd w:val="clear" w:color="auto" w:fill="FFFFFF"/>
              </w:rPr>
              <w:t>Local</w:t>
            </w:r>
            <w:r>
              <w:rPr>
                <w:rFonts w:ascii="Arial" w:hAnsi="Arial" w:cs="Arial"/>
                <w:b/>
                <w:bCs/>
                <w:color w:val="313335"/>
                <w:sz w:val="21"/>
                <w:szCs w:val="21"/>
              </w:rPr>
              <w:br/>
            </w:r>
            <w:r>
              <w:rPr>
                <w:rFonts w:ascii="Arial" w:hAnsi="Arial" w:cs="Arial"/>
                <w:b/>
                <w:bCs/>
                <w:color w:val="313335"/>
                <w:sz w:val="21"/>
                <w:szCs w:val="21"/>
                <w:shd w:val="clear" w:color="auto" w:fill="FFFFFF"/>
              </w:rPr>
              <w:t>Street</w:t>
            </w:r>
          </w:p>
        </w:tc>
        <w:tc>
          <w:tcPr>
            <w:tcW w:w="1226" w:type="dxa"/>
          </w:tcPr>
          <w:p w:rsidR="006A0A3C" w:rsidRDefault="006A0A3C" w:rsidP="00497F3F">
            <w:pPr>
              <w:spacing w:before="100" w:beforeAutospacing="1" w:after="100" w:afterAutospacing="1"/>
              <w:jc w:val="both"/>
              <w:rPr>
                <w:rFonts w:ascii="Arial" w:eastAsia="Times New Roman" w:hAnsi="Arial" w:cs="Arial"/>
                <w:color w:val="313335"/>
                <w:spacing w:val="2"/>
                <w:sz w:val="21"/>
                <w:szCs w:val="21"/>
              </w:rPr>
            </w:pPr>
            <w:bookmarkStart w:id="0" w:name="_GoBack"/>
            <w:bookmarkEnd w:id="0"/>
          </w:p>
        </w:tc>
      </w:tr>
      <w:tr w:rsidR="006A0A3C" w:rsidTr="006A0A3C">
        <w:tc>
          <w:tcPr>
            <w:tcW w:w="991" w:type="dxa"/>
          </w:tcPr>
          <w:p w:rsidR="006A0A3C" w:rsidRDefault="006A0A3C" w:rsidP="00497F3F">
            <w:pPr>
              <w:spacing w:before="100" w:beforeAutospacing="1" w:after="100" w:afterAutospacing="1"/>
              <w:jc w:val="both"/>
              <w:rPr>
                <w:rFonts w:ascii="Arial" w:eastAsia="Times New Roman" w:hAnsi="Arial" w:cs="Arial"/>
                <w:color w:val="313335"/>
                <w:spacing w:val="2"/>
                <w:sz w:val="21"/>
                <w:szCs w:val="21"/>
              </w:rPr>
            </w:pPr>
            <w:r>
              <w:rPr>
                <w:rFonts w:ascii="Arial" w:hAnsi="Arial" w:cs="Arial"/>
                <w:color w:val="313335"/>
                <w:sz w:val="21"/>
                <w:szCs w:val="21"/>
                <w:shd w:val="clear" w:color="auto" w:fill="FFFFFF"/>
              </w:rPr>
              <w:t>HT</w:t>
            </w:r>
          </w:p>
        </w:tc>
        <w:tc>
          <w:tcPr>
            <w:tcW w:w="1156" w:type="dxa"/>
          </w:tcPr>
          <w:p w:rsidR="006A0A3C" w:rsidRDefault="006A0A3C" w:rsidP="00497F3F">
            <w:pPr>
              <w:spacing w:before="100" w:beforeAutospacing="1" w:after="100" w:afterAutospacing="1"/>
              <w:jc w:val="both"/>
              <w:rPr>
                <w:rFonts w:ascii="Arial" w:eastAsia="Times New Roman" w:hAnsi="Arial" w:cs="Arial"/>
                <w:color w:val="313335"/>
                <w:spacing w:val="2"/>
                <w:sz w:val="21"/>
                <w:szCs w:val="21"/>
              </w:rPr>
            </w:pPr>
            <w:r>
              <w:rPr>
                <w:rFonts w:ascii="Arial" w:hAnsi="Arial" w:cs="Arial"/>
                <w:color w:val="313335"/>
                <w:sz w:val="21"/>
                <w:szCs w:val="21"/>
                <w:shd w:val="clear" w:color="auto" w:fill="FFFFFF"/>
              </w:rPr>
              <w:t xml:space="preserve">No minimum provided that no lot shall be less than </w:t>
            </w:r>
            <w:r>
              <w:rPr>
                <w:rFonts w:ascii="Arial" w:hAnsi="Arial" w:cs="Arial"/>
                <w:color w:val="313335"/>
                <w:sz w:val="21"/>
                <w:szCs w:val="21"/>
                <w:shd w:val="clear" w:color="auto" w:fill="FFFFFF"/>
              </w:rPr>
              <w:lastRenderedPageBreak/>
              <w:t>30 feet in width</w:t>
            </w:r>
          </w:p>
        </w:tc>
        <w:tc>
          <w:tcPr>
            <w:tcW w:w="1145" w:type="dxa"/>
          </w:tcPr>
          <w:p w:rsidR="006A0A3C" w:rsidRDefault="006A0A3C" w:rsidP="00497F3F">
            <w:pPr>
              <w:spacing w:before="100" w:beforeAutospacing="1" w:after="100" w:afterAutospacing="1"/>
              <w:jc w:val="both"/>
              <w:rPr>
                <w:rFonts w:ascii="Arial" w:eastAsia="Times New Roman" w:hAnsi="Arial" w:cs="Arial"/>
                <w:color w:val="313335"/>
                <w:spacing w:val="2"/>
                <w:sz w:val="21"/>
                <w:szCs w:val="21"/>
              </w:rPr>
            </w:pPr>
            <w:r>
              <w:rPr>
                <w:rFonts w:ascii="Arial" w:hAnsi="Arial" w:cs="Arial"/>
                <w:color w:val="313335"/>
                <w:sz w:val="21"/>
                <w:szCs w:val="21"/>
                <w:shd w:val="clear" w:color="auto" w:fill="FFFFFF"/>
              </w:rPr>
              <w:lastRenderedPageBreak/>
              <w:t>30</w:t>
            </w:r>
          </w:p>
        </w:tc>
        <w:tc>
          <w:tcPr>
            <w:tcW w:w="1127" w:type="dxa"/>
          </w:tcPr>
          <w:p w:rsidR="006A0A3C" w:rsidRDefault="006A0A3C" w:rsidP="00497F3F">
            <w:pPr>
              <w:spacing w:before="100" w:beforeAutospacing="1" w:after="100" w:afterAutospacing="1"/>
              <w:jc w:val="both"/>
              <w:rPr>
                <w:rFonts w:ascii="Arial" w:eastAsia="Times New Roman" w:hAnsi="Arial" w:cs="Arial"/>
                <w:color w:val="313335"/>
                <w:spacing w:val="2"/>
                <w:sz w:val="21"/>
                <w:szCs w:val="21"/>
              </w:rPr>
            </w:pPr>
            <w:r>
              <w:rPr>
                <w:rFonts w:ascii="Arial" w:eastAsia="Times New Roman" w:hAnsi="Arial" w:cs="Arial"/>
                <w:color w:val="313335"/>
                <w:spacing w:val="2"/>
                <w:sz w:val="21"/>
                <w:szCs w:val="21"/>
              </w:rPr>
              <w:t>NONE</w:t>
            </w:r>
          </w:p>
        </w:tc>
        <w:tc>
          <w:tcPr>
            <w:tcW w:w="812" w:type="dxa"/>
          </w:tcPr>
          <w:p w:rsidR="006A0A3C" w:rsidRDefault="006A0A3C" w:rsidP="00497F3F">
            <w:pPr>
              <w:spacing w:before="100" w:beforeAutospacing="1" w:after="100" w:afterAutospacing="1"/>
              <w:jc w:val="both"/>
              <w:rPr>
                <w:rFonts w:ascii="Arial" w:eastAsia="Times New Roman" w:hAnsi="Arial" w:cs="Arial"/>
                <w:color w:val="313335"/>
                <w:spacing w:val="2"/>
                <w:sz w:val="21"/>
                <w:szCs w:val="21"/>
              </w:rPr>
            </w:pPr>
            <w:r>
              <w:rPr>
                <w:rFonts w:ascii="Arial" w:eastAsia="Times New Roman" w:hAnsi="Arial" w:cs="Arial"/>
                <w:color w:val="313335"/>
                <w:spacing w:val="2"/>
                <w:sz w:val="21"/>
                <w:szCs w:val="21"/>
              </w:rPr>
              <w:t>NONE</w:t>
            </w:r>
          </w:p>
        </w:tc>
        <w:tc>
          <w:tcPr>
            <w:tcW w:w="1127" w:type="dxa"/>
          </w:tcPr>
          <w:p w:rsidR="006A0A3C" w:rsidRDefault="006A0A3C" w:rsidP="00497F3F">
            <w:pPr>
              <w:spacing w:before="100" w:beforeAutospacing="1" w:after="100" w:afterAutospacing="1"/>
              <w:jc w:val="both"/>
              <w:rPr>
                <w:rFonts w:ascii="Arial" w:eastAsia="Times New Roman" w:hAnsi="Arial" w:cs="Arial"/>
                <w:color w:val="313335"/>
                <w:spacing w:val="2"/>
                <w:sz w:val="21"/>
                <w:szCs w:val="21"/>
              </w:rPr>
            </w:pPr>
            <w:r>
              <w:rPr>
                <w:rFonts w:ascii="Arial" w:eastAsia="Times New Roman" w:hAnsi="Arial" w:cs="Arial"/>
                <w:color w:val="313335"/>
                <w:spacing w:val="2"/>
                <w:sz w:val="21"/>
                <w:szCs w:val="21"/>
              </w:rPr>
              <w:t>NONE</w:t>
            </w:r>
          </w:p>
        </w:tc>
        <w:tc>
          <w:tcPr>
            <w:tcW w:w="812" w:type="dxa"/>
          </w:tcPr>
          <w:p w:rsidR="006A0A3C" w:rsidRDefault="006A0A3C" w:rsidP="00497F3F">
            <w:pPr>
              <w:spacing w:before="100" w:beforeAutospacing="1" w:after="100" w:afterAutospacing="1"/>
              <w:jc w:val="both"/>
              <w:rPr>
                <w:rFonts w:ascii="Arial" w:eastAsia="Times New Roman" w:hAnsi="Arial" w:cs="Arial"/>
                <w:color w:val="313335"/>
                <w:spacing w:val="2"/>
                <w:sz w:val="21"/>
                <w:szCs w:val="21"/>
              </w:rPr>
            </w:pPr>
            <w:r>
              <w:rPr>
                <w:rFonts w:ascii="Arial" w:eastAsia="Times New Roman" w:hAnsi="Arial" w:cs="Arial"/>
                <w:color w:val="313335"/>
                <w:spacing w:val="2"/>
                <w:sz w:val="21"/>
                <w:szCs w:val="21"/>
              </w:rPr>
              <w:t>NONE</w:t>
            </w:r>
          </w:p>
        </w:tc>
        <w:tc>
          <w:tcPr>
            <w:tcW w:w="1127" w:type="dxa"/>
          </w:tcPr>
          <w:p w:rsidR="006A0A3C" w:rsidRDefault="006A0A3C" w:rsidP="00497F3F">
            <w:pPr>
              <w:spacing w:before="100" w:beforeAutospacing="1" w:after="100" w:afterAutospacing="1"/>
              <w:jc w:val="both"/>
              <w:rPr>
                <w:rFonts w:ascii="Arial" w:eastAsia="Times New Roman" w:hAnsi="Arial" w:cs="Arial"/>
                <w:color w:val="313335"/>
                <w:spacing w:val="2"/>
                <w:sz w:val="21"/>
                <w:szCs w:val="21"/>
              </w:rPr>
            </w:pPr>
            <w:r>
              <w:rPr>
                <w:rFonts w:ascii="Arial" w:eastAsia="Times New Roman" w:hAnsi="Arial" w:cs="Arial"/>
                <w:color w:val="313335"/>
                <w:spacing w:val="2"/>
                <w:sz w:val="21"/>
                <w:szCs w:val="21"/>
              </w:rPr>
              <w:t>NONE</w:t>
            </w:r>
          </w:p>
        </w:tc>
        <w:tc>
          <w:tcPr>
            <w:tcW w:w="812" w:type="dxa"/>
          </w:tcPr>
          <w:p w:rsidR="006A0A3C" w:rsidRDefault="006A0A3C" w:rsidP="00497F3F">
            <w:pPr>
              <w:spacing w:before="100" w:beforeAutospacing="1" w:after="100" w:afterAutospacing="1"/>
              <w:jc w:val="both"/>
              <w:rPr>
                <w:rFonts w:ascii="Arial" w:eastAsia="Times New Roman" w:hAnsi="Arial" w:cs="Arial"/>
                <w:color w:val="313335"/>
                <w:spacing w:val="2"/>
                <w:sz w:val="21"/>
                <w:szCs w:val="21"/>
              </w:rPr>
            </w:pPr>
            <w:r>
              <w:rPr>
                <w:rFonts w:ascii="Arial" w:eastAsia="Times New Roman" w:hAnsi="Arial" w:cs="Arial"/>
                <w:color w:val="313335"/>
                <w:spacing w:val="2"/>
                <w:sz w:val="21"/>
                <w:szCs w:val="21"/>
              </w:rPr>
              <w:t>NONE</w:t>
            </w:r>
          </w:p>
        </w:tc>
        <w:tc>
          <w:tcPr>
            <w:tcW w:w="1226" w:type="dxa"/>
          </w:tcPr>
          <w:p w:rsidR="006A0A3C" w:rsidRDefault="006A0A3C" w:rsidP="00497F3F">
            <w:pPr>
              <w:spacing w:before="100" w:beforeAutospacing="1" w:after="100" w:afterAutospacing="1"/>
              <w:jc w:val="both"/>
              <w:rPr>
                <w:rFonts w:ascii="Arial" w:eastAsia="Times New Roman" w:hAnsi="Arial" w:cs="Arial"/>
                <w:color w:val="313335"/>
                <w:spacing w:val="2"/>
                <w:sz w:val="21"/>
                <w:szCs w:val="21"/>
              </w:rPr>
            </w:pPr>
            <w:r>
              <w:rPr>
                <w:rFonts w:ascii="Arial" w:eastAsia="Times New Roman" w:hAnsi="Arial" w:cs="Arial"/>
                <w:color w:val="313335"/>
                <w:spacing w:val="2"/>
                <w:sz w:val="21"/>
                <w:szCs w:val="21"/>
              </w:rPr>
              <w:t>55</w:t>
            </w:r>
          </w:p>
        </w:tc>
      </w:tr>
    </w:tbl>
    <w:p w:rsidR="00497F3F" w:rsidRPr="00497F3F" w:rsidRDefault="00497F3F" w:rsidP="00497F3F">
      <w:pPr>
        <w:shd w:val="clear" w:color="auto" w:fill="FFFFFF"/>
        <w:spacing w:before="100" w:beforeAutospacing="1" w:after="100" w:afterAutospacing="1" w:line="240" w:lineRule="auto"/>
        <w:jc w:val="both"/>
        <w:rPr>
          <w:rFonts w:ascii="Arial" w:eastAsia="Times New Roman" w:hAnsi="Arial" w:cs="Arial"/>
          <w:color w:val="313335"/>
          <w:spacing w:val="2"/>
          <w:sz w:val="21"/>
          <w:szCs w:val="21"/>
        </w:rPr>
      </w:pPr>
    </w:p>
    <w:p w:rsidR="00497F3F" w:rsidRDefault="00497F3F" w:rsidP="003911B1">
      <w:pPr>
        <w:pStyle w:val="ListParagraph"/>
        <w:ind w:left="1080"/>
        <w:jc w:val="both"/>
        <w:rPr>
          <w:i/>
        </w:rPr>
      </w:pPr>
    </w:p>
    <w:p w:rsidR="00497F3F" w:rsidRDefault="00497F3F" w:rsidP="003911B1">
      <w:pPr>
        <w:pStyle w:val="ListParagraph"/>
        <w:ind w:left="1080"/>
        <w:jc w:val="both"/>
        <w:rPr>
          <w:i/>
        </w:rPr>
      </w:pPr>
    </w:p>
    <w:p w:rsidR="00D800E2" w:rsidRPr="00D800E2" w:rsidRDefault="00D800E2" w:rsidP="00497F3F">
      <w:pPr>
        <w:pStyle w:val="ListParagraph"/>
        <w:ind w:left="1080"/>
        <w:jc w:val="both"/>
        <w:rPr>
          <w:rFonts w:ascii="Calibri" w:eastAsia="Times New Roman" w:hAnsi="Calibri" w:cs="Calibri"/>
          <w:color w:val="313335"/>
          <w:spacing w:val="2"/>
        </w:rPr>
      </w:pPr>
    </w:p>
    <w:p w:rsidR="00601DF9" w:rsidRPr="003F2808" w:rsidRDefault="00601DF9" w:rsidP="003911B1">
      <w:pPr>
        <w:pStyle w:val="ListParagraph"/>
        <w:ind w:left="1080"/>
        <w:jc w:val="both"/>
        <w:rPr>
          <w:rFonts w:ascii="Calibri" w:hAnsi="Calibri" w:cs="Calibri"/>
        </w:rPr>
      </w:pPr>
    </w:p>
    <w:p w:rsidR="00D800E2" w:rsidRPr="003F2808" w:rsidRDefault="00D800E2" w:rsidP="003911B1">
      <w:pPr>
        <w:pStyle w:val="ListParagraph"/>
        <w:ind w:left="1080"/>
        <w:jc w:val="both"/>
        <w:rPr>
          <w:rFonts w:ascii="Calibri" w:hAnsi="Calibri" w:cs="Calibri"/>
        </w:rPr>
      </w:pPr>
    </w:p>
    <w:p w:rsidR="00D800E2" w:rsidRPr="003911B1" w:rsidRDefault="00D800E2" w:rsidP="003911B1">
      <w:pPr>
        <w:pStyle w:val="ListParagraph"/>
        <w:ind w:left="1080"/>
        <w:jc w:val="both"/>
      </w:pPr>
    </w:p>
    <w:p w:rsidR="00DA1341" w:rsidRPr="003911B1" w:rsidRDefault="00601DF9" w:rsidP="003911B1">
      <w:pPr>
        <w:pStyle w:val="ListParagraph"/>
        <w:numPr>
          <w:ilvl w:val="0"/>
          <w:numId w:val="1"/>
        </w:numPr>
        <w:jc w:val="both"/>
      </w:pPr>
      <w:r w:rsidRPr="003911B1">
        <w:t xml:space="preserve"> All ordinances and Code sections, or parts thereof, in conflict with the foregoing are expressly repealed. </w:t>
      </w:r>
    </w:p>
    <w:p w:rsidR="00601DF9" w:rsidRPr="003911B1" w:rsidRDefault="00601DF9" w:rsidP="003911B1">
      <w:pPr>
        <w:pStyle w:val="ListParagraph"/>
        <w:ind w:left="1080"/>
        <w:jc w:val="both"/>
      </w:pPr>
    </w:p>
    <w:p w:rsidR="00601DF9" w:rsidRPr="003911B1" w:rsidRDefault="00601DF9" w:rsidP="003911B1">
      <w:pPr>
        <w:pStyle w:val="ListParagraph"/>
        <w:numPr>
          <w:ilvl w:val="0"/>
          <w:numId w:val="1"/>
        </w:numPr>
        <w:jc w:val="both"/>
      </w:pPr>
      <w:r w:rsidRPr="003911B1">
        <w:t>Should any provision of this ordinance be rendered invalid by any court of law, the remaining provisions shall continue in force and effect until amended or repealed by action of the municipal governing authority.</w:t>
      </w:r>
    </w:p>
    <w:p w:rsidR="00601DF9" w:rsidRPr="003911B1" w:rsidRDefault="00601DF9" w:rsidP="003911B1">
      <w:pPr>
        <w:pStyle w:val="ListParagraph"/>
        <w:jc w:val="both"/>
      </w:pPr>
    </w:p>
    <w:p w:rsidR="00601DF9" w:rsidRPr="003911B1" w:rsidRDefault="00601DF9" w:rsidP="003911B1">
      <w:pPr>
        <w:pStyle w:val="ListParagraph"/>
        <w:numPr>
          <w:ilvl w:val="0"/>
          <w:numId w:val="1"/>
        </w:numPr>
        <w:jc w:val="both"/>
      </w:pPr>
      <w:r w:rsidRPr="003911B1">
        <w:t xml:space="preserve">Except as modified herein, The Code of Senoia, Georgia, is hereby reaffirmed and restated.  The codifier is hereby granted editorial license to include this amendment in future supplements of said Code by appropriate section, division, article or chapter, the city attorney is directed and authorized to direct the codifier to make necessary minor, non-substantive corrections to the provisions of this code, including but not limited to, the misspelling of words, typographical errors, duplicate pages, incorrect references to state or federal laws, statutes, this Code, or other codes or similar legal or technical sources, and other similar amendments, without necessity of passage of a corrective ordinance or other action of the </w:t>
      </w:r>
      <w:r w:rsidR="00516DF7">
        <w:t>City of Senoia City Council</w:t>
      </w:r>
      <w:r w:rsidRPr="003911B1">
        <w:t xml:space="preserve">.  The city clerk shall, upon the written advice or recommendation of the city attorney and without the necessity of further council action, alter, amend or supplement any non-codified ordinance, resolution or other record filed in his or her office as necessary to effect similar non-substantive changes or revisions and ensure that such public records are correct, complete and accurate.  </w:t>
      </w:r>
    </w:p>
    <w:p w:rsidR="00601DF9" w:rsidRPr="003911B1" w:rsidRDefault="00601DF9" w:rsidP="003911B1">
      <w:pPr>
        <w:pStyle w:val="ListParagraph"/>
        <w:ind w:left="1080"/>
        <w:jc w:val="both"/>
      </w:pPr>
    </w:p>
    <w:p w:rsidR="00601DF9" w:rsidRPr="003911B1" w:rsidRDefault="003911B1" w:rsidP="003911B1">
      <w:pPr>
        <w:pStyle w:val="ListParagraph"/>
        <w:numPr>
          <w:ilvl w:val="0"/>
          <w:numId w:val="1"/>
        </w:numPr>
        <w:jc w:val="both"/>
      </w:pPr>
      <w:r w:rsidRPr="003911B1">
        <w:t xml:space="preserve">This ordinance shall become effective immediately upon adoption on second and final reading. </w:t>
      </w:r>
    </w:p>
    <w:p w:rsidR="003911B1" w:rsidRPr="003911B1" w:rsidRDefault="003911B1" w:rsidP="003911B1">
      <w:pPr>
        <w:pStyle w:val="ListParagraph"/>
      </w:pPr>
    </w:p>
    <w:p w:rsidR="003911B1" w:rsidRPr="003911B1" w:rsidRDefault="003911B1" w:rsidP="003911B1">
      <w:r w:rsidRPr="003911B1">
        <w:t>Adopted this _____ day of _________________, 2021.</w:t>
      </w:r>
    </w:p>
    <w:p w:rsidR="003911B1" w:rsidRPr="003911B1" w:rsidRDefault="003911B1" w:rsidP="003911B1"/>
    <w:p w:rsidR="003911B1" w:rsidRPr="003911B1" w:rsidRDefault="003911B1" w:rsidP="003911B1">
      <w:r w:rsidRPr="003911B1">
        <w:t>By_________________________</w:t>
      </w:r>
    </w:p>
    <w:p w:rsidR="003911B1" w:rsidRPr="003911B1" w:rsidRDefault="003911B1" w:rsidP="003911B1">
      <w:r w:rsidRPr="003911B1">
        <w:t>William W. Pearman, III Mayor</w:t>
      </w:r>
    </w:p>
    <w:p w:rsidR="003911B1" w:rsidRPr="003911B1" w:rsidRDefault="003911B1" w:rsidP="003911B1"/>
    <w:p w:rsidR="003911B1" w:rsidRPr="003911B1" w:rsidRDefault="003911B1" w:rsidP="003911B1">
      <w:r w:rsidRPr="003911B1">
        <w:t>Attest:</w:t>
      </w:r>
    </w:p>
    <w:p w:rsidR="003911B1" w:rsidRPr="003911B1" w:rsidRDefault="003911B1" w:rsidP="003911B1"/>
    <w:p w:rsidR="003911B1" w:rsidRPr="003911B1" w:rsidRDefault="003911B1" w:rsidP="003911B1">
      <w:r w:rsidRPr="003911B1">
        <w:t>___________________________</w:t>
      </w:r>
    </w:p>
    <w:p w:rsidR="003911B1" w:rsidRPr="003911B1" w:rsidRDefault="003911B1" w:rsidP="003911B1">
      <w:r w:rsidRPr="003911B1">
        <w:t xml:space="preserve">D. Lynn Carter, MMC, City Clerk </w:t>
      </w:r>
    </w:p>
    <w:p w:rsidR="003911B1" w:rsidRPr="003911B1" w:rsidRDefault="003911B1" w:rsidP="003911B1"/>
    <w:p w:rsidR="003911B1" w:rsidRPr="003911B1" w:rsidRDefault="003911B1" w:rsidP="003911B1">
      <w:r w:rsidRPr="003911B1">
        <w:t>SEAL</w:t>
      </w:r>
    </w:p>
    <w:p w:rsidR="003911B1" w:rsidRPr="003911B1" w:rsidRDefault="003911B1" w:rsidP="003911B1"/>
    <w:p w:rsidR="003911B1" w:rsidRPr="003911B1" w:rsidRDefault="003911B1" w:rsidP="003911B1">
      <w:r w:rsidRPr="003911B1">
        <w:t xml:space="preserve">First Reading:  </w:t>
      </w:r>
      <w:r w:rsidR="00A845D2">
        <w:t>___________________</w:t>
      </w:r>
    </w:p>
    <w:p w:rsidR="003911B1" w:rsidRPr="003911B1" w:rsidRDefault="00A845D2" w:rsidP="003911B1">
      <w:r>
        <w:t>Second Reading:  _________________</w:t>
      </w:r>
    </w:p>
    <w:sectPr w:rsidR="003911B1" w:rsidRPr="00391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C4B77"/>
    <w:multiLevelType w:val="hybridMultilevel"/>
    <w:tmpl w:val="C9AECE56"/>
    <w:lvl w:ilvl="0" w:tplc="D602AC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3870E8B"/>
    <w:multiLevelType w:val="hybridMultilevel"/>
    <w:tmpl w:val="6408FE8E"/>
    <w:lvl w:ilvl="0" w:tplc="23BC6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41"/>
    <w:rsid w:val="000C0413"/>
    <w:rsid w:val="003911B1"/>
    <w:rsid w:val="003F2808"/>
    <w:rsid w:val="00431125"/>
    <w:rsid w:val="00457883"/>
    <w:rsid w:val="00497F3F"/>
    <w:rsid w:val="00516DF7"/>
    <w:rsid w:val="00601DF9"/>
    <w:rsid w:val="006A0A3C"/>
    <w:rsid w:val="00872A9C"/>
    <w:rsid w:val="00925C26"/>
    <w:rsid w:val="00A845D2"/>
    <w:rsid w:val="00B07CEA"/>
    <w:rsid w:val="00D800E2"/>
    <w:rsid w:val="00DA1341"/>
    <w:rsid w:val="00E268D5"/>
    <w:rsid w:val="00E41CCA"/>
    <w:rsid w:val="00FB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475"/>
  <w15:chartTrackingRefBased/>
  <w15:docId w15:val="{BE115366-A9BA-4E93-8B71-99A8BCA4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DF9"/>
    <w:pPr>
      <w:ind w:left="720"/>
      <w:contextualSpacing/>
    </w:pPr>
  </w:style>
  <w:style w:type="character" w:styleId="Hyperlink">
    <w:name w:val="Hyperlink"/>
    <w:basedOn w:val="DefaultParagraphFont"/>
    <w:uiPriority w:val="99"/>
    <w:unhideWhenUsed/>
    <w:rsid w:val="00FB532E"/>
    <w:rPr>
      <w:color w:val="0563C1" w:themeColor="hyperlink"/>
      <w:u w:val="single"/>
    </w:rPr>
  </w:style>
  <w:style w:type="paragraph" w:styleId="BalloonText">
    <w:name w:val="Balloon Text"/>
    <w:basedOn w:val="Normal"/>
    <w:link w:val="BalloonTextChar"/>
    <w:uiPriority w:val="99"/>
    <w:semiHidden/>
    <w:unhideWhenUsed/>
    <w:rsid w:val="003F2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808"/>
    <w:rPr>
      <w:rFonts w:ascii="Segoe UI" w:hAnsi="Segoe UI" w:cs="Segoe UI"/>
      <w:sz w:val="18"/>
      <w:szCs w:val="18"/>
    </w:rPr>
  </w:style>
  <w:style w:type="table" w:styleId="TableGrid">
    <w:name w:val="Table Grid"/>
    <w:basedOn w:val="TableNormal"/>
    <w:uiPriority w:val="39"/>
    <w:rsid w:val="00497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97F3F"/>
    <w:rPr>
      <w:i/>
      <w:iCs/>
    </w:rPr>
  </w:style>
  <w:style w:type="character" w:customStyle="1" w:styleId="bold">
    <w:name w:val="bold"/>
    <w:basedOn w:val="DefaultParagraphFont"/>
    <w:rsid w:val="00497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48844">
      <w:bodyDiv w:val="1"/>
      <w:marLeft w:val="0"/>
      <w:marRight w:val="0"/>
      <w:marTop w:val="0"/>
      <w:marBottom w:val="0"/>
      <w:divBdr>
        <w:top w:val="none" w:sz="0" w:space="0" w:color="auto"/>
        <w:left w:val="none" w:sz="0" w:space="0" w:color="auto"/>
        <w:bottom w:val="none" w:sz="0" w:space="0" w:color="auto"/>
        <w:right w:val="none" w:sz="0" w:space="0" w:color="auto"/>
      </w:divBdr>
    </w:div>
    <w:div w:id="514467800">
      <w:bodyDiv w:val="1"/>
      <w:marLeft w:val="0"/>
      <w:marRight w:val="0"/>
      <w:marTop w:val="0"/>
      <w:marBottom w:val="0"/>
      <w:divBdr>
        <w:top w:val="none" w:sz="0" w:space="0" w:color="auto"/>
        <w:left w:val="none" w:sz="0" w:space="0" w:color="auto"/>
        <w:bottom w:val="none" w:sz="0" w:space="0" w:color="auto"/>
        <w:right w:val="none" w:sz="0" w:space="0" w:color="auto"/>
      </w:divBdr>
    </w:div>
    <w:div w:id="733889656">
      <w:bodyDiv w:val="1"/>
      <w:marLeft w:val="0"/>
      <w:marRight w:val="0"/>
      <w:marTop w:val="0"/>
      <w:marBottom w:val="0"/>
      <w:divBdr>
        <w:top w:val="none" w:sz="0" w:space="0" w:color="auto"/>
        <w:left w:val="none" w:sz="0" w:space="0" w:color="auto"/>
        <w:bottom w:val="none" w:sz="0" w:space="0" w:color="auto"/>
        <w:right w:val="none" w:sz="0" w:space="0" w:color="auto"/>
      </w:divBdr>
    </w:div>
    <w:div w:id="780144291">
      <w:bodyDiv w:val="1"/>
      <w:marLeft w:val="0"/>
      <w:marRight w:val="0"/>
      <w:marTop w:val="0"/>
      <w:marBottom w:val="0"/>
      <w:divBdr>
        <w:top w:val="none" w:sz="0" w:space="0" w:color="auto"/>
        <w:left w:val="none" w:sz="0" w:space="0" w:color="auto"/>
        <w:bottom w:val="none" w:sz="0" w:space="0" w:color="auto"/>
        <w:right w:val="none" w:sz="0" w:space="0" w:color="auto"/>
      </w:divBdr>
      <w:divsChild>
        <w:div w:id="337654315">
          <w:marLeft w:val="0"/>
          <w:marRight w:val="0"/>
          <w:marTop w:val="120"/>
          <w:marBottom w:val="120"/>
          <w:divBdr>
            <w:top w:val="none" w:sz="0" w:space="0" w:color="auto"/>
            <w:left w:val="none" w:sz="0" w:space="0" w:color="auto"/>
            <w:bottom w:val="none" w:sz="0" w:space="0" w:color="auto"/>
            <w:right w:val="none" w:sz="0" w:space="0" w:color="auto"/>
          </w:divBdr>
          <w:divsChild>
            <w:div w:id="1224104343">
              <w:marLeft w:val="0"/>
              <w:marRight w:val="0"/>
              <w:marTop w:val="0"/>
              <w:marBottom w:val="0"/>
              <w:divBdr>
                <w:top w:val="none" w:sz="0" w:space="0" w:color="auto"/>
                <w:left w:val="none" w:sz="0" w:space="0" w:color="auto"/>
                <w:bottom w:val="none" w:sz="0" w:space="0" w:color="auto"/>
                <w:right w:val="none" w:sz="0" w:space="0" w:color="auto"/>
              </w:divBdr>
              <w:divsChild>
                <w:div w:id="1838887561">
                  <w:marLeft w:val="0"/>
                  <w:marRight w:val="0"/>
                  <w:marTop w:val="0"/>
                  <w:marBottom w:val="0"/>
                  <w:divBdr>
                    <w:top w:val="none" w:sz="0" w:space="0" w:color="auto"/>
                    <w:left w:val="none" w:sz="0" w:space="0" w:color="auto"/>
                    <w:bottom w:val="none" w:sz="0" w:space="0" w:color="auto"/>
                    <w:right w:val="none" w:sz="0" w:space="0" w:color="auto"/>
                  </w:divBdr>
                </w:div>
              </w:divsChild>
            </w:div>
            <w:div w:id="492111802">
              <w:marLeft w:val="0"/>
              <w:marRight w:val="0"/>
              <w:marTop w:val="0"/>
              <w:marBottom w:val="0"/>
              <w:divBdr>
                <w:top w:val="none" w:sz="0" w:space="0" w:color="auto"/>
                <w:left w:val="none" w:sz="0" w:space="0" w:color="auto"/>
                <w:bottom w:val="none" w:sz="0" w:space="0" w:color="auto"/>
                <w:right w:val="none" w:sz="0" w:space="0" w:color="auto"/>
              </w:divBdr>
            </w:div>
            <w:div w:id="1942225630">
              <w:marLeft w:val="0"/>
              <w:marRight w:val="0"/>
              <w:marTop w:val="0"/>
              <w:marBottom w:val="0"/>
              <w:divBdr>
                <w:top w:val="none" w:sz="0" w:space="0" w:color="auto"/>
                <w:left w:val="none" w:sz="0" w:space="0" w:color="auto"/>
                <w:bottom w:val="none" w:sz="0" w:space="0" w:color="auto"/>
                <w:right w:val="none" w:sz="0" w:space="0" w:color="auto"/>
              </w:divBdr>
              <w:divsChild>
                <w:div w:id="17437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64375">
          <w:marLeft w:val="0"/>
          <w:marRight w:val="0"/>
          <w:marTop w:val="0"/>
          <w:marBottom w:val="0"/>
          <w:divBdr>
            <w:top w:val="none" w:sz="0" w:space="0" w:color="auto"/>
            <w:left w:val="none" w:sz="0" w:space="0" w:color="auto"/>
            <w:bottom w:val="none" w:sz="0" w:space="0" w:color="auto"/>
            <w:right w:val="none" w:sz="0" w:space="0" w:color="auto"/>
          </w:divBdr>
        </w:div>
      </w:divsChild>
    </w:div>
    <w:div w:id="115167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Carter</dc:creator>
  <cp:keywords/>
  <dc:description/>
  <cp:lastModifiedBy>Lynn Carter</cp:lastModifiedBy>
  <cp:revision>5</cp:revision>
  <cp:lastPrinted>2021-06-09T19:12:00Z</cp:lastPrinted>
  <dcterms:created xsi:type="dcterms:W3CDTF">2021-06-09T19:08:00Z</dcterms:created>
  <dcterms:modified xsi:type="dcterms:W3CDTF">2021-06-10T16:04:00Z</dcterms:modified>
</cp:coreProperties>
</file>