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644FD" w14:textId="77777777" w:rsidR="00CC44A4" w:rsidRDefault="00CC44A4"/>
    <w:p w14:paraId="4BE15F8C" w14:textId="77777777" w:rsidR="00CC44A4" w:rsidRDefault="00CC44A4"/>
    <w:p w14:paraId="201B5C32" w14:textId="77777777" w:rsidR="0043306D" w:rsidRPr="007B4A12" w:rsidRDefault="0043306D" w:rsidP="0043306D">
      <w:pPr>
        <w:rPr>
          <w:b/>
          <w:sz w:val="22"/>
          <w:szCs w:val="22"/>
        </w:rPr>
      </w:pPr>
      <w:r w:rsidRPr="007B4A12">
        <w:rPr>
          <w:b/>
          <w:sz w:val="22"/>
          <w:szCs w:val="22"/>
        </w:rPr>
        <w:t>Memo</w:t>
      </w:r>
    </w:p>
    <w:p w14:paraId="54ACB7F0" w14:textId="77777777" w:rsidR="0043306D" w:rsidRPr="007B4A12" w:rsidRDefault="0043306D" w:rsidP="0043306D">
      <w:pPr>
        <w:rPr>
          <w:b/>
          <w:sz w:val="22"/>
          <w:szCs w:val="22"/>
        </w:rPr>
      </w:pPr>
    </w:p>
    <w:p w14:paraId="011960DC" w14:textId="7CAE8F01" w:rsidR="002453BF" w:rsidRPr="007B4A12" w:rsidRDefault="0043306D" w:rsidP="00C55724">
      <w:pPr>
        <w:rPr>
          <w:sz w:val="22"/>
          <w:szCs w:val="22"/>
        </w:rPr>
      </w:pPr>
      <w:r w:rsidRPr="007B4A12">
        <w:rPr>
          <w:sz w:val="22"/>
          <w:szCs w:val="22"/>
        </w:rPr>
        <w:t>TO:</w:t>
      </w:r>
      <w:r w:rsidRPr="007B4A12">
        <w:rPr>
          <w:sz w:val="22"/>
          <w:szCs w:val="22"/>
        </w:rPr>
        <w:tab/>
      </w:r>
      <w:r w:rsidRPr="007B4A12">
        <w:rPr>
          <w:sz w:val="22"/>
          <w:szCs w:val="22"/>
        </w:rPr>
        <w:tab/>
      </w:r>
      <w:r w:rsidR="007B4A12" w:rsidRPr="007B4A12">
        <w:rPr>
          <w:sz w:val="22"/>
          <w:szCs w:val="22"/>
        </w:rPr>
        <w:t>Planning Commission</w:t>
      </w:r>
    </w:p>
    <w:p w14:paraId="45A59643" w14:textId="77777777" w:rsidR="001803DA" w:rsidRPr="007B4A12" w:rsidRDefault="001803DA" w:rsidP="002453BF">
      <w:pPr>
        <w:rPr>
          <w:sz w:val="22"/>
          <w:szCs w:val="22"/>
        </w:rPr>
      </w:pPr>
      <w:r w:rsidRPr="007B4A12">
        <w:rPr>
          <w:sz w:val="22"/>
          <w:szCs w:val="22"/>
        </w:rPr>
        <w:tab/>
        <w:t xml:space="preserve">            </w:t>
      </w:r>
    </w:p>
    <w:p w14:paraId="7C8266F9" w14:textId="77777777" w:rsidR="0043306D" w:rsidRPr="007B4A12" w:rsidRDefault="0043306D" w:rsidP="0043306D">
      <w:pPr>
        <w:rPr>
          <w:sz w:val="22"/>
          <w:szCs w:val="22"/>
        </w:rPr>
      </w:pPr>
      <w:r w:rsidRPr="007B4A12">
        <w:rPr>
          <w:sz w:val="22"/>
          <w:szCs w:val="22"/>
        </w:rPr>
        <w:t>FROM:</w:t>
      </w:r>
      <w:r w:rsidRPr="007B4A12">
        <w:rPr>
          <w:sz w:val="22"/>
          <w:szCs w:val="22"/>
        </w:rPr>
        <w:tab/>
      </w:r>
      <w:r w:rsidRPr="007B4A12">
        <w:rPr>
          <w:sz w:val="22"/>
          <w:szCs w:val="22"/>
        </w:rPr>
        <w:tab/>
      </w:r>
      <w:r w:rsidR="006046FC" w:rsidRPr="007B4A12">
        <w:rPr>
          <w:sz w:val="22"/>
          <w:szCs w:val="22"/>
        </w:rPr>
        <w:t>Dina Rimi, Community Development Director</w:t>
      </w:r>
    </w:p>
    <w:p w14:paraId="31B55392" w14:textId="6D131277" w:rsidR="0043306D" w:rsidRPr="007B4A12" w:rsidRDefault="0043306D" w:rsidP="0043306D">
      <w:pPr>
        <w:rPr>
          <w:sz w:val="22"/>
          <w:szCs w:val="22"/>
        </w:rPr>
      </w:pPr>
      <w:r w:rsidRPr="007B4A12">
        <w:rPr>
          <w:sz w:val="22"/>
          <w:szCs w:val="22"/>
        </w:rPr>
        <w:t>DATE:</w:t>
      </w:r>
      <w:r w:rsidRPr="007B4A12">
        <w:rPr>
          <w:sz w:val="22"/>
          <w:szCs w:val="22"/>
        </w:rPr>
        <w:tab/>
      </w:r>
      <w:r w:rsidRPr="007B4A12">
        <w:rPr>
          <w:sz w:val="22"/>
          <w:szCs w:val="22"/>
        </w:rPr>
        <w:tab/>
      </w:r>
      <w:r w:rsidR="00173FB3">
        <w:rPr>
          <w:sz w:val="22"/>
          <w:szCs w:val="22"/>
        </w:rPr>
        <w:t>August 12</w:t>
      </w:r>
      <w:r w:rsidR="00921FFA">
        <w:rPr>
          <w:sz w:val="22"/>
          <w:szCs w:val="22"/>
        </w:rPr>
        <w:t>, 2022</w:t>
      </w:r>
    </w:p>
    <w:p w14:paraId="1453DE49" w14:textId="1F779CA3" w:rsidR="0040775A" w:rsidRPr="007B4A12" w:rsidRDefault="00CC44A4" w:rsidP="002D4A54">
      <w:pPr>
        <w:rPr>
          <w:sz w:val="24"/>
        </w:rPr>
      </w:pPr>
      <w:r w:rsidRPr="007B4A12">
        <w:rPr>
          <w:sz w:val="24"/>
        </w:rPr>
        <w:t>RE:</w:t>
      </w:r>
      <w:r w:rsidRPr="007B4A12">
        <w:rPr>
          <w:sz w:val="24"/>
        </w:rPr>
        <w:tab/>
      </w:r>
      <w:r w:rsidRPr="007B4A12">
        <w:rPr>
          <w:sz w:val="24"/>
        </w:rPr>
        <w:tab/>
      </w:r>
      <w:r w:rsidR="007D30C8" w:rsidRPr="007B4A12">
        <w:rPr>
          <w:sz w:val="24"/>
        </w:rPr>
        <w:t>Public Hearing –</w:t>
      </w:r>
      <w:r w:rsidR="0051304A" w:rsidRPr="007B4A12">
        <w:rPr>
          <w:sz w:val="24"/>
        </w:rPr>
        <w:t xml:space="preserve"> </w:t>
      </w:r>
      <w:r w:rsidR="00795712" w:rsidRPr="007B4A12">
        <w:rPr>
          <w:sz w:val="24"/>
        </w:rPr>
        <w:t>R</w:t>
      </w:r>
      <w:r w:rsidR="008A502C" w:rsidRPr="007B4A12">
        <w:rPr>
          <w:sz w:val="24"/>
        </w:rPr>
        <w:t>ez</w:t>
      </w:r>
      <w:r w:rsidR="007D30C8" w:rsidRPr="007B4A12">
        <w:rPr>
          <w:sz w:val="24"/>
        </w:rPr>
        <w:t>oning</w:t>
      </w:r>
      <w:r w:rsidR="0043306D" w:rsidRPr="007B4A12">
        <w:rPr>
          <w:sz w:val="24"/>
        </w:rPr>
        <w:t xml:space="preserve"> – </w:t>
      </w:r>
      <w:r w:rsidR="001E203D">
        <w:rPr>
          <w:sz w:val="24"/>
        </w:rPr>
        <w:t>Mann Property</w:t>
      </w:r>
    </w:p>
    <w:p w14:paraId="70834C9D" w14:textId="434BE970" w:rsidR="008A502C" w:rsidRPr="007B4A12" w:rsidRDefault="007D30C8">
      <w:pPr>
        <w:rPr>
          <w:sz w:val="24"/>
        </w:rPr>
      </w:pPr>
      <w:r w:rsidRPr="007B4A12">
        <w:rPr>
          <w:sz w:val="24"/>
        </w:rPr>
        <w:tab/>
      </w:r>
      <w:r w:rsidRPr="007B4A12">
        <w:rPr>
          <w:sz w:val="24"/>
        </w:rPr>
        <w:tab/>
      </w:r>
      <w:r w:rsidR="008A502C" w:rsidRPr="007B4A12">
        <w:rPr>
          <w:sz w:val="24"/>
        </w:rPr>
        <w:t xml:space="preserve">Residential </w:t>
      </w:r>
      <w:r w:rsidR="00AD0C85">
        <w:rPr>
          <w:sz w:val="24"/>
        </w:rPr>
        <w:t>GI</w:t>
      </w:r>
      <w:r w:rsidR="008A502C" w:rsidRPr="007B4A12">
        <w:rPr>
          <w:sz w:val="24"/>
        </w:rPr>
        <w:t xml:space="preserve"> to </w:t>
      </w:r>
      <w:r w:rsidR="001E203D">
        <w:rPr>
          <w:sz w:val="24"/>
        </w:rPr>
        <w:t>GC</w:t>
      </w:r>
    </w:p>
    <w:p w14:paraId="781F28C7" w14:textId="08C18D99" w:rsidR="001803DA" w:rsidRPr="007B4A12" w:rsidRDefault="001803DA">
      <w:pPr>
        <w:rPr>
          <w:sz w:val="24"/>
        </w:rPr>
      </w:pPr>
      <w:r w:rsidRPr="007B4A12">
        <w:rPr>
          <w:sz w:val="24"/>
        </w:rPr>
        <w:tab/>
      </w:r>
      <w:r w:rsidRPr="007B4A12">
        <w:rPr>
          <w:sz w:val="24"/>
        </w:rPr>
        <w:tab/>
      </w:r>
    </w:p>
    <w:p w14:paraId="5E6C6356" w14:textId="77777777" w:rsidR="00CC44A4" w:rsidRPr="007B4A12" w:rsidRDefault="006046FC">
      <w:pPr>
        <w:rPr>
          <w:sz w:val="24"/>
        </w:rPr>
      </w:pPr>
      <w:r w:rsidRPr="007B4A12">
        <w:rPr>
          <w:noProof/>
          <w:sz w:val="24"/>
        </w:rPr>
        <mc:AlternateContent>
          <mc:Choice Requires="wps">
            <w:drawing>
              <wp:anchor distT="0" distB="0" distL="114300" distR="114300" simplePos="0" relativeHeight="251657728" behindDoc="0" locked="0" layoutInCell="0" allowOverlap="1" wp14:anchorId="1332FA21" wp14:editId="25B27FB5">
                <wp:simplePos x="0" y="0"/>
                <wp:positionH relativeFrom="column">
                  <wp:posOffset>-45720</wp:posOffset>
                </wp:positionH>
                <wp:positionV relativeFrom="paragraph">
                  <wp:posOffset>99060</wp:posOffset>
                </wp:positionV>
                <wp:extent cx="576072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938C0"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HfAEwIAACk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" o:allowincell="f" strokeweight="1.25pt"/>
            </w:pict>
          </mc:Fallback>
        </mc:AlternateContent>
      </w:r>
    </w:p>
    <w:p w14:paraId="4BF00C8F" w14:textId="77777777" w:rsidR="00CC44A4" w:rsidRPr="007B4A12" w:rsidRDefault="00CC44A4">
      <w:pPr>
        <w:rPr>
          <w:sz w:val="24"/>
        </w:rPr>
      </w:pPr>
    </w:p>
    <w:p w14:paraId="531E99E6" w14:textId="77777777" w:rsidR="00CC44A4" w:rsidRPr="007B4A12" w:rsidRDefault="00CC44A4">
      <w:pPr>
        <w:rPr>
          <w:b/>
          <w:sz w:val="24"/>
        </w:rPr>
      </w:pPr>
      <w:r w:rsidRPr="007B4A12">
        <w:rPr>
          <w:b/>
          <w:sz w:val="24"/>
        </w:rPr>
        <w:t>Background</w:t>
      </w:r>
    </w:p>
    <w:p w14:paraId="5802DF20" w14:textId="77777777" w:rsidR="00CC44A4" w:rsidRPr="007B4A12" w:rsidRDefault="00CC44A4">
      <w:pPr>
        <w:rPr>
          <w:sz w:val="24"/>
        </w:rPr>
      </w:pPr>
    </w:p>
    <w:p w14:paraId="338F3FE8" w14:textId="66A42C62" w:rsidR="00AF1BAB" w:rsidRPr="007B4A12" w:rsidRDefault="001803DA" w:rsidP="0001684D">
      <w:pPr>
        <w:rPr>
          <w:sz w:val="24"/>
        </w:rPr>
      </w:pPr>
      <w:r w:rsidRPr="007B4A12">
        <w:rPr>
          <w:sz w:val="24"/>
        </w:rPr>
        <w:t>T</w:t>
      </w:r>
      <w:r w:rsidR="00230FDF" w:rsidRPr="007B4A12">
        <w:rPr>
          <w:sz w:val="24"/>
        </w:rPr>
        <w:t>he City of Senoia rece</w:t>
      </w:r>
      <w:r w:rsidR="009C28AE" w:rsidRPr="007B4A12">
        <w:rPr>
          <w:sz w:val="24"/>
        </w:rPr>
        <w:t xml:space="preserve">ived </w:t>
      </w:r>
      <w:r w:rsidR="00B657AE" w:rsidRPr="007B4A12">
        <w:rPr>
          <w:sz w:val="24"/>
        </w:rPr>
        <w:t>an</w:t>
      </w:r>
      <w:r w:rsidR="009C28AE" w:rsidRPr="007B4A12">
        <w:rPr>
          <w:sz w:val="24"/>
        </w:rPr>
        <w:t xml:space="preserve"> </w:t>
      </w:r>
      <w:r w:rsidR="008A502C" w:rsidRPr="007B4A12">
        <w:rPr>
          <w:sz w:val="24"/>
        </w:rPr>
        <w:t xml:space="preserve">application </w:t>
      </w:r>
      <w:r w:rsidR="00B657AE" w:rsidRPr="007B4A12">
        <w:rPr>
          <w:sz w:val="24"/>
        </w:rPr>
        <w:t>to amend the Zoning Map</w:t>
      </w:r>
      <w:r w:rsidR="0001684D" w:rsidRPr="007B4A12">
        <w:rPr>
          <w:sz w:val="24"/>
        </w:rPr>
        <w:t xml:space="preserve"> from</w:t>
      </w:r>
      <w:r w:rsidR="00033CD8" w:rsidRPr="007B4A12">
        <w:rPr>
          <w:sz w:val="24"/>
        </w:rPr>
        <w:t xml:space="preserve">, </w:t>
      </w:r>
      <w:r w:rsidR="002E4F6E">
        <w:rPr>
          <w:sz w:val="24"/>
        </w:rPr>
        <w:t>Kimley Horn and Associate</w:t>
      </w:r>
      <w:r w:rsidR="00564EE8">
        <w:rPr>
          <w:sz w:val="24"/>
        </w:rPr>
        <w:t xml:space="preserve"> </w:t>
      </w:r>
      <w:r w:rsidR="007B4A12" w:rsidRPr="007B4A12">
        <w:rPr>
          <w:sz w:val="24"/>
        </w:rPr>
        <w:t xml:space="preserve">for </w:t>
      </w:r>
      <w:r w:rsidR="002E4F6E">
        <w:rPr>
          <w:sz w:val="24"/>
        </w:rPr>
        <w:t xml:space="preserve">property Tract A-2 of the Mann </w:t>
      </w:r>
      <w:r w:rsidR="002811D9">
        <w:rPr>
          <w:sz w:val="24"/>
        </w:rPr>
        <w:t xml:space="preserve">Property. </w:t>
      </w:r>
      <w:r w:rsidR="00A65190" w:rsidRPr="007B4A12">
        <w:rPr>
          <w:sz w:val="24"/>
        </w:rPr>
        <w:t>The property is</w:t>
      </w:r>
      <w:r w:rsidR="008315BE" w:rsidRPr="007B4A12">
        <w:rPr>
          <w:sz w:val="24"/>
        </w:rPr>
        <w:t xml:space="preserve"> currently zoned </w:t>
      </w:r>
      <w:r w:rsidR="002E4F6E">
        <w:rPr>
          <w:sz w:val="24"/>
        </w:rPr>
        <w:t>General Industrial</w:t>
      </w:r>
      <w:r w:rsidR="008315BE" w:rsidRPr="007B4A12">
        <w:rPr>
          <w:sz w:val="24"/>
        </w:rPr>
        <w:t xml:space="preserve"> in the </w:t>
      </w:r>
      <w:r w:rsidR="00A65190" w:rsidRPr="007B4A12">
        <w:rPr>
          <w:sz w:val="24"/>
        </w:rPr>
        <w:t xml:space="preserve">Senoia </w:t>
      </w:r>
      <w:r w:rsidR="00324160">
        <w:rPr>
          <w:sz w:val="24"/>
        </w:rPr>
        <w:t>city limits</w:t>
      </w:r>
      <w:r w:rsidR="008315BE" w:rsidRPr="007B4A12">
        <w:rPr>
          <w:sz w:val="24"/>
        </w:rPr>
        <w:t xml:space="preserve">. </w:t>
      </w:r>
      <w:r w:rsidR="00D34FE6" w:rsidRPr="007B4A12">
        <w:rPr>
          <w:sz w:val="24"/>
        </w:rPr>
        <w:t xml:space="preserve">The application is to </w:t>
      </w:r>
      <w:r w:rsidR="008E06E4">
        <w:rPr>
          <w:sz w:val="24"/>
        </w:rPr>
        <w:t xml:space="preserve">request rezoning to </w:t>
      </w:r>
      <w:r w:rsidR="002E4F6E">
        <w:rPr>
          <w:sz w:val="24"/>
        </w:rPr>
        <w:t xml:space="preserve">General Commercial </w:t>
      </w:r>
      <w:r w:rsidR="00324160">
        <w:rPr>
          <w:sz w:val="24"/>
        </w:rPr>
        <w:t>.</w:t>
      </w:r>
      <w:r w:rsidR="00A65190" w:rsidRPr="007B4A12">
        <w:rPr>
          <w:sz w:val="24"/>
        </w:rPr>
        <w:t xml:space="preserve">The subject property is </w:t>
      </w:r>
      <w:r w:rsidR="00DC7632" w:rsidRPr="007B4A12">
        <w:rPr>
          <w:sz w:val="24"/>
        </w:rPr>
        <w:t xml:space="preserve">a </w:t>
      </w:r>
      <w:r w:rsidR="00DC40D9">
        <w:rPr>
          <w:sz w:val="24"/>
        </w:rPr>
        <w:t xml:space="preserve">currently undeveloped </w:t>
      </w:r>
      <w:r w:rsidR="00A65190" w:rsidRPr="007B4A12">
        <w:rPr>
          <w:sz w:val="24"/>
        </w:rPr>
        <w:t xml:space="preserve">lot in the </w:t>
      </w:r>
      <w:r w:rsidR="002E4F6E">
        <w:rPr>
          <w:sz w:val="24"/>
        </w:rPr>
        <w:t>GI</w:t>
      </w:r>
      <w:r w:rsidR="00A65190" w:rsidRPr="007B4A12">
        <w:rPr>
          <w:sz w:val="24"/>
        </w:rPr>
        <w:t xml:space="preserve"> district.  </w:t>
      </w:r>
      <w:r w:rsidR="002E4F6E">
        <w:rPr>
          <w:sz w:val="24"/>
        </w:rPr>
        <w:t>The GC zoning requires the property to be a minimum of 1 acre</w:t>
      </w:r>
    </w:p>
    <w:p w14:paraId="19937ADE" w14:textId="77777777" w:rsidR="00AF1BAB" w:rsidRPr="007B4A12" w:rsidRDefault="00AF1BAB" w:rsidP="0001684D">
      <w:pPr>
        <w:rPr>
          <w:sz w:val="24"/>
        </w:rPr>
      </w:pPr>
    </w:p>
    <w:p w14:paraId="1ABC4FA7" w14:textId="03F891BF" w:rsidR="002E4F6E" w:rsidRPr="002E4F6E" w:rsidRDefault="00B41DBD" w:rsidP="002E4F6E">
      <w:pPr>
        <w:rPr>
          <w:color w:val="000000"/>
          <w:sz w:val="24"/>
          <w:szCs w:val="24"/>
          <w:shd w:val="clear" w:color="auto" w:fill="FFFFFF"/>
        </w:rPr>
      </w:pPr>
      <w:r w:rsidRPr="007B4A12">
        <w:rPr>
          <w:color w:val="000000"/>
          <w:sz w:val="24"/>
          <w:szCs w:val="24"/>
          <w:shd w:val="clear" w:color="auto" w:fill="FFFFFF"/>
        </w:rPr>
        <w:t xml:space="preserve">The purpose of the </w:t>
      </w:r>
      <w:r w:rsidR="002E4F6E">
        <w:rPr>
          <w:color w:val="000000"/>
          <w:sz w:val="24"/>
          <w:szCs w:val="24"/>
          <w:shd w:val="clear" w:color="auto" w:fill="FFFFFF"/>
        </w:rPr>
        <w:t xml:space="preserve">General Commercial according to </w:t>
      </w:r>
      <w:r w:rsidR="002E4F6E" w:rsidRPr="002E4F6E">
        <w:rPr>
          <w:color w:val="000000"/>
          <w:sz w:val="24"/>
          <w:szCs w:val="24"/>
          <w:shd w:val="clear" w:color="auto" w:fill="FFFFFF"/>
        </w:rPr>
        <w:t>Sec. 74-77. - General commercial.</w:t>
      </w:r>
    </w:p>
    <w:p w14:paraId="2017D03D" w14:textId="5603BE75" w:rsidR="00892184" w:rsidRDefault="002E4F6E" w:rsidP="002E4F6E">
      <w:pPr>
        <w:rPr>
          <w:color w:val="000000"/>
          <w:sz w:val="24"/>
          <w:szCs w:val="24"/>
          <w:shd w:val="clear" w:color="auto" w:fill="FFFFFF"/>
        </w:rPr>
      </w:pPr>
      <w:r w:rsidRPr="002E4F6E">
        <w:rPr>
          <w:color w:val="000000"/>
          <w:sz w:val="24"/>
          <w:szCs w:val="24"/>
          <w:shd w:val="clear" w:color="auto" w:fill="FFFFFF"/>
        </w:rPr>
        <w:t>The purpose of this district shall be to provide for and encourage the proper grouping and development of uses which include a wide variety of sales and services that will best accommodate the needs of the city and the traveling pub</w:t>
      </w:r>
      <w:r>
        <w:rPr>
          <w:color w:val="000000"/>
          <w:sz w:val="24"/>
          <w:szCs w:val="24"/>
          <w:shd w:val="clear" w:color="auto" w:fill="FFFFFF"/>
        </w:rPr>
        <w:t>l</w:t>
      </w:r>
      <w:r w:rsidRPr="002E4F6E">
        <w:rPr>
          <w:color w:val="000000"/>
          <w:sz w:val="24"/>
          <w:szCs w:val="24"/>
          <w:shd w:val="clear" w:color="auto" w:fill="FFFFFF"/>
        </w:rPr>
        <w:t xml:space="preserve">ic in order to reduce highway traffic congestion, traffic hazards and blight along the highways of the </w:t>
      </w:r>
      <w:r w:rsidR="002811D9" w:rsidRPr="002E4F6E">
        <w:rPr>
          <w:color w:val="000000"/>
          <w:sz w:val="24"/>
          <w:szCs w:val="24"/>
          <w:shd w:val="clear" w:color="auto" w:fill="FFFFFF"/>
        </w:rPr>
        <w:t>city.</w:t>
      </w:r>
      <w:r w:rsidR="002811D9">
        <w:rPr>
          <w:color w:val="000000"/>
          <w:sz w:val="24"/>
          <w:szCs w:val="24"/>
          <w:shd w:val="clear" w:color="auto" w:fill="FFFFFF"/>
        </w:rPr>
        <w:t xml:space="preserve"> This</w:t>
      </w:r>
      <w:r w:rsidR="00324160">
        <w:rPr>
          <w:color w:val="000000"/>
          <w:sz w:val="24"/>
          <w:szCs w:val="24"/>
          <w:shd w:val="clear" w:color="auto" w:fill="FFFFFF"/>
        </w:rPr>
        <w:t xml:space="preserve"> </w:t>
      </w:r>
      <w:r>
        <w:rPr>
          <w:color w:val="000000"/>
          <w:sz w:val="24"/>
          <w:szCs w:val="24"/>
          <w:shd w:val="clear" w:color="auto" w:fill="FFFFFF"/>
        </w:rPr>
        <w:t xml:space="preserve">property falls in the Commercial Corridor Overlay all aspects of this ordinance addressed and met in the site plan and elevation drawings. These items will be reviewed by the Mayor and Council for a final approval before a building permit will be issued.  </w:t>
      </w:r>
    </w:p>
    <w:p w14:paraId="5C059D39" w14:textId="2A99DCCC" w:rsidR="00324160" w:rsidRDefault="00324160">
      <w:pPr>
        <w:rPr>
          <w:color w:val="000000"/>
          <w:sz w:val="24"/>
          <w:szCs w:val="24"/>
          <w:shd w:val="clear" w:color="auto" w:fill="FFFFFF"/>
        </w:rPr>
      </w:pPr>
      <w:r>
        <w:rPr>
          <w:color w:val="000000"/>
          <w:sz w:val="24"/>
          <w:szCs w:val="24"/>
          <w:shd w:val="clear" w:color="auto" w:fill="FFFFFF"/>
        </w:rPr>
        <w:tab/>
      </w:r>
    </w:p>
    <w:p w14:paraId="2B513B13" w14:textId="04556DA7" w:rsidR="00CC44A4" w:rsidRPr="007B4A12" w:rsidRDefault="00324160" w:rsidP="002E4F6E">
      <w:pPr>
        <w:pStyle w:val="List2"/>
        <w:rPr>
          <w:b/>
          <w:sz w:val="24"/>
        </w:rPr>
      </w:pPr>
      <w:r>
        <w:rPr>
          <w:color w:val="000000"/>
          <w:sz w:val="24"/>
          <w:shd w:val="clear" w:color="auto" w:fill="FFFFFF"/>
        </w:rPr>
        <w:tab/>
      </w:r>
      <w:r w:rsidR="00CC44A4" w:rsidRPr="007B4A12">
        <w:rPr>
          <w:b/>
          <w:sz w:val="24"/>
        </w:rPr>
        <w:t>Adminis</w:t>
      </w:r>
      <w:r w:rsidR="0040775A" w:rsidRPr="007B4A12">
        <w:rPr>
          <w:b/>
          <w:sz w:val="24"/>
        </w:rPr>
        <w:t>tra</w:t>
      </w:r>
      <w:r w:rsidR="00CC44A4" w:rsidRPr="007B4A12">
        <w:rPr>
          <w:b/>
          <w:sz w:val="24"/>
        </w:rPr>
        <w:t>tor's Report</w:t>
      </w:r>
    </w:p>
    <w:p w14:paraId="6653FF46" w14:textId="76AE50D3" w:rsidR="00BF5F09" w:rsidRPr="007B4A12" w:rsidRDefault="00F94A6E">
      <w:pPr>
        <w:rPr>
          <w:sz w:val="24"/>
        </w:rPr>
      </w:pPr>
      <w:r w:rsidRPr="007B4A12">
        <w:rPr>
          <w:sz w:val="24"/>
        </w:rPr>
        <w:t>T</w:t>
      </w:r>
      <w:r w:rsidR="00F35778" w:rsidRPr="007B4A12">
        <w:rPr>
          <w:sz w:val="24"/>
        </w:rPr>
        <w:t xml:space="preserve">he applicant is proposing </w:t>
      </w:r>
      <w:r w:rsidR="00FB14A2" w:rsidRPr="007B4A12">
        <w:rPr>
          <w:sz w:val="24"/>
        </w:rPr>
        <w:t xml:space="preserve">to rezone the </w:t>
      </w:r>
      <w:r w:rsidR="00892184" w:rsidRPr="007B4A12">
        <w:rPr>
          <w:sz w:val="24"/>
        </w:rPr>
        <w:t xml:space="preserve">subject </w:t>
      </w:r>
      <w:r w:rsidR="00FB14A2" w:rsidRPr="007B4A12">
        <w:rPr>
          <w:sz w:val="24"/>
        </w:rPr>
        <w:t xml:space="preserve">property </w:t>
      </w:r>
      <w:r w:rsidR="00892184" w:rsidRPr="007B4A12">
        <w:rPr>
          <w:sz w:val="24"/>
        </w:rPr>
        <w:t xml:space="preserve">from </w:t>
      </w:r>
      <w:r w:rsidR="00A874A3">
        <w:rPr>
          <w:sz w:val="24"/>
        </w:rPr>
        <w:t>GI</w:t>
      </w:r>
      <w:r w:rsidR="00FB14A2" w:rsidRPr="007B4A12">
        <w:rPr>
          <w:sz w:val="24"/>
        </w:rPr>
        <w:t xml:space="preserve"> </w:t>
      </w:r>
      <w:r w:rsidR="00892184" w:rsidRPr="007B4A12">
        <w:rPr>
          <w:sz w:val="24"/>
        </w:rPr>
        <w:t>to</w:t>
      </w:r>
      <w:r w:rsidR="00A204D1" w:rsidRPr="007B4A12">
        <w:rPr>
          <w:sz w:val="24"/>
        </w:rPr>
        <w:t xml:space="preserve"> </w:t>
      </w:r>
      <w:r w:rsidR="00A874A3">
        <w:rPr>
          <w:sz w:val="24"/>
        </w:rPr>
        <w:t>GC</w:t>
      </w:r>
      <w:r w:rsidR="00F35778" w:rsidRPr="007B4A12">
        <w:rPr>
          <w:sz w:val="24"/>
        </w:rPr>
        <w:t xml:space="preserve">.  </w:t>
      </w:r>
      <w:r w:rsidR="00FB14A2" w:rsidRPr="007B4A12">
        <w:rPr>
          <w:sz w:val="24"/>
        </w:rPr>
        <w:t>In consideration of this re</w:t>
      </w:r>
      <w:r w:rsidR="00D72E7D" w:rsidRPr="007B4A12">
        <w:rPr>
          <w:sz w:val="24"/>
        </w:rPr>
        <w:t>zoning</w:t>
      </w:r>
      <w:r w:rsidR="00FB14A2" w:rsidRPr="007B4A12">
        <w:rPr>
          <w:sz w:val="24"/>
        </w:rPr>
        <w:t>,</w:t>
      </w:r>
      <w:r w:rsidR="00D72E7D" w:rsidRPr="007B4A12">
        <w:rPr>
          <w:sz w:val="24"/>
        </w:rPr>
        <w:t xml:space="preserve"> the </w:t>
      </w:r>
      <w:r w:rsidR="00C55724" w:rsidRPr="007B4A12">
        <w:rPr>
          <w:sz w:val="24"/>
        </w:rPr>
        <w:t>Planning Commission</w:t>
      </w:r>
      <w:r w:rsidR="00F35778" w:rsidRPr="007B4A12">
        <w:rPr>
          <w:sz w:val="24"/>
        </w:rPr>
        <w:t xml:space="preserve"> should consider the items under Section 3.9 of the Zoning Ordinance. </w:t>
      </w:r>
      <w:r w:rsidR="00C05845" w:rsidRPr="007B4A12">
        <w:rPr>
          <w:sz w:val="24"/>
        </w:rPr>
        <w:t xml:space="preserve">The </w:t>
      </w:r>
      <w:r w:rsidR="00A204D1" w:rsidRPr="007B4A12">
        <w:rPr>
          <w:sz w:val="24"/>
        </w:rPr>
        <w:t xml:space="preserve">application is to rezone </w:t>
      </w:r>
      <w:r w:rsidR="00F5027D" w:rsidRPr="007B4A12">
        <w:rPr>
          <w:sz w:val="24"/>
        </w:rPr>
        <w:t xml:space="preserve">and subdivide </w:t>
      </w:r>
      <w:r w:rsidR="00FB5C3E" w:rsidRPr="007B4A12">
        <w:rPr>
          <w:sz w:val="24"/>
        </w:rPr>
        <w:t xml:space="preserve">the property </w:t>
      </w:r>
      <w:r w:rsidR="00033CD8" w:rsidRPr="007B4A12">
        <w:rPr>
          <w:sz w:val="24"/>
        </w:rPr>
        <w:t>for</w:t>
      </w:r>
      <w:r w:rsidR="00FB5C3E" w:rsidRPr="007B4A12">
        <w:rPr>
          <w:sz w:val="24"/>
        </w:rPr>
        <w:t xml:space="preserve"> </w:t>
      </w:r>
      <w:r w:rsidR="002453BF" w:rsidRPr="007B4A12">
        <w:rPr>
          <w:sz w:val="24"/>
        </w:rPr>
        <w:t xml:space="preserve">developing </w:t>
      </w:r>
      <w:r w:rsidR="00324160">
        <w:rPr>
          <w:sz w:val="24"/>
        </w:rPr>
        <w:t>s</w:t>
      </w:r>
      <w:r w:rsidR="00033CD8" w:rsidRPr="007B4A12">
        <w:rPr>
          <w:sz w:val="24"/>
        </w:rPr>
        <w:t>ingle-family</w:t>
      </w:r>
      <w:r w:rsidR="002453BF" w:rsidRPr="007B4A12">
        <w:rPr>
          <w:sz w:val="24"/>
        </w:rPr>
        <w:t xml:space="preserve"> structures</w:t>
      </w:r>
      <w:r w:rsidR="00A204D1" w:rsidRPr="007B4A12">
        <w:rPr>
          <w:sz w:val="24"/>
        </w:rPr>
        <w:t>, t</w:t>
      </w:r>
      <w:r w:rsidR="00C05845" w:rsidRPr="007B4A12">
        <w:rPr>
          <w:sz w:val="24"/>
        </w:rPr>
        <w:t xml:space="preserve">he subject of this report </w:t>
      </w:r>
      <w:r w:rsidR="00F5027D" w:rsidRPr="007B4A12">
        <w:rPr>
          <w:sz w:val="24"/>
        </w:rPr>
        <w:t>consider the proposed plan</w:t>
      </w:r>
      <w:r w:rsidR="00C05845" w:rsidRPr="007B4A12">
        <w:rPr>
          <w:sz w:val="24"/>
        </w:rPr>
        <w:t xml:space="preserve">. </w:t>
      </w:r>
    </w:p>
    <w:p w14:paraId="3F75032F" w14:textId="77777777" w:rsidR="00F35778" w:rsidRPr="007B4A12" w:rsidRDefault="00F35778">
      <w:pPr>
        <w:rPr>
          <w:sz w:val="24"/>
        </w:rPr>
      </w:pPr>
    </w:p>
    <w:p w14:paraId="07080B5A" w14:textId="77777777" w:rsidR="00F35778" w:rsidRPr="007B4A12" w:rsidRDefault="00F35778" w:rsidP="00F35778">
      <w:pPr>
        <w:pStyle w:val="BodyTextIndent"/>
        <w:numPr>
          <w:ilvl w:val="0"/>
          <w:numId w:val="4"/>
        </w:numPr>
      </w:pPr>
      <w:r w:rsidRPr="007B4A12">
        <w:t>The existing land uses and zoning classification of nearby property.</w:t>
      </w:r>
    </w:p>
    <w:p w14:paraId="5AA8370A" w14:textId="4FA35FE5" w:rsidR="00F35778" w:rsidRPr="007B4A12" w:rsidRDefault="00FB5C3E" w:rsidP="00F35778">
      <w:pPr>
        <w:pStyle w:val="BodyTextIndent"/>
        <w:numPr>
          <w:ilvl w:val="0"/>
          <w:numId w:val="5"/>
        </w:numPr>
        <w:rPr>
          <w:i/>
        </w:rPr>
      </w:pPr>
      <w:r w:rsidRPr="007B4A12">
        <w:rPr>
          <w:i/>
        </w:rPr>
        <w:t xml:space="preserve">The subject property is located in the City of Senoia </w:t>
      </w:r>
      <w:r w:rsidR="00324160">
        <w:rPr>
          <w:i/>
        </w:rPr>
        <w:t>city limit</w:t>
      </w:r>
      <w:r w:rsidRPr="007B4A12">
        <w:rPr>
          <w:i/>
        </w:rPr>
        <w:t xml:space="preserve"> </w:t>
      </w:r>
      <w:r w:rsidR="00A874A3">
        <w:rPr>
          <w:i/>
        </w:rPr>
        <w:t xml:space="preserve">adjacent to similarly zoned property. </w:t>
      </w:r>
      <w:r w:rsidRPr="007B4A12">
        <w:rPr>
          <w:i/>
        </w:rPr>
        <w:t>similar uses</w:t>
      </w:r>
      <w:r w:rsidR="00324160">
        <w:rPr>
          <w:i/>
        </w:rPr>
        <w:t xml:space="preserve"> the primary difference is the density and the allowed square footage </w:t>
      </w:r>
    </w:p>
    <w:p w14:paraId="02544F15" w14:textId="77777777" w:rsidR="00F35778" w:rsidRPr="007B4A12" w:rsidRDefault="00F35778" w:rsidP="00F35778">
      <w:pPr>
        <w:pStyle w:val="BodyTextIndent"/>
        <w:ind w:left="720" w:firstLine="0"/>
      </w:pPr>
    </w:p>
    <w:p w14:paraId="776A80F0" w14:textId="77777777" w:rsidR="00F35778" w:rsidRPr="007B4A12" w:rsidRDefault="00F35778" w:rsidP="00F35778">
      <w:pPr>
        <w:pStyle w:val="BodyTextIndent"/>
        <w:numPr>
          <w:ilvl w:val="0"/>
          <w:numId w:val="4"/>
        </w:numPr>
      </w:pPr>
      <w:r w:rsidRPr="007B4A12">
        <w:t>The suitability of the subject property for the zoned purpose.</w:t>
      </w:r>
    </w:p>
    <w:p w14:paraId="4BE16CC0" w14:textId="3E2F23FA" w:rsidR="00F6591D" w:rsidRPr="007B4A12" w:rsidRDefault="00D27325" w:rsidP="00F35778">
      <w:pPr>
        <w:pStyle w:val="BodyTextIndent"/>
        <w:numPr>
          <w:ilvl w:val="0"/>
          <w:numId w:val="6"/>
        </w:numPr>
        <w:rPr>
          <w:i/>
        </w:rPr>
      </w:pPr>
      <w:r w:rsidRPr="007B4A12">
        <w:rPr>
          <w:i/>
        </w:rPr>
        <w:t xml:space="preserve">The </w:t>
      </w:r>
      <w:r w:rsidR="00FB5C3E" w:rsidRPr="007B4A12">
        <w:rPr>
          <w:i/>
        </w:rPr>
        <w:t>lot</w:t>
      </w:r>
      <w:r w:rsidRPr="007B4A12">
        <w:rPr>
          <w:i/>
        </w:rPr>
        <w:t xml:space="preserve"> is currently in a </w:t>
      </w:r>
      <w:r w:rsidR="00DC40D9">
        <w:rPr>
          <w:i/>
        </w:rPr>
        <w:t xml:space="preserve">zoned </w:t>
      </w:r>
      <w:r w:rsidR="00A874A3">
        <w:rPr>
          <w:i/>
        </w:rPr>
        <w:t>General Industrial</w:t>
      </w:r>
      <w:r w:rsidR="006A48F8" w:rsidRPr="007B4A12">
        <w:rPr>
          <w:i/>
        </w:rPr>
        <w:t>, t</w:t>
      </w:r>
      <w:r w:rsidRPr="007B4A12">
        <w:rPr>
          <w:i/>
        </w:rPr>
        <w:t xml:space="preserve">he neighboring lots </w:t>
      </w:r>
      <w:r w:rsidR="00A874A3">
        <w:rPr>
          <w:i/>
        </w:rPr>
        <w:t>are zoned General Industrial to the south, Commercial to the North and East and Residential to the West</w:t>
      </w:r>
    </w:p>
    <w:p w14:paraId="2215F25F" w14:textId="77777777" w:rsidR="00F35778" w:rsidRPr="007B4A12" w:rsidRDefault="00F35778" w:rsidP="00F35778">
      <w:pPr>
        <w:pStyle w:val="BodyTextIndent"/>
        <w:ind w:left="0" w:firstLine="0"/>
        <w:rPr>
          <w:b/>
        </w:rPr>
      </w:pPr>
    </w:p>
    <w:p w14:paraId="3EFFDA36" w14:textId="77777777" w:rsidR="00F35778" w:rsidRPr="007B4A12" w:rsidRDefault="00F35778" w:rsidP="00F35778">
      <w:pPr>
        <w:pStyle w:val="BodyTextIndent"/>
        <w:numPr>
          <w:ilvl w:val="0"/>
          <w:numId w:val="4"/>
        </w:numPr>
      </w:pPr>
      <w:r w:rsidRPr="007B4A12">
        <w:t>The extent to which the property values of the subject property are diminished by the particular zoning restrictions.</w:t>
      </w:r>
    </w:p>
    <w:p w14:paraId="20BD8D75" w14:textId="7CBC85BC" w:rsidR="00DC40D9" w:rsidRPr="00DC40D9" w:rsidRDefault="00A50518" w:rsidP="00DC40D9">
      <w:pPr>
        <w:pStyle w:val="BodyTextIndent"/>
        <w:numPr>
          <w:ilvl w:val="0"/>
          <w:numId w:val="19"/>
        </w:numPr>
        <w:ind w:hanging="720"/>
        <w:rPr>
          <w:b/>
        </w:rPr>
      </w:pPr>
      <w:r w:rsidRPr="00DC40D9">
        <w:rPr>
          <w:i/>
        </w:rPr>
        <w:t xml:space="preserve">There </w:t>
      </w:r>
      <w:r w:rsidR="00033CD8" w:rsidRPr="00DC40D9">
        <w:rPr>
          <w:i/>
        </w:rPr>
        <w:t>is</w:t>
      </w:r>
      <w:r w:rsidRPr="00DC40D9">
        <w:rPr>
          <w:i/>
        </w:rPr>
        <w:t xml:space="preserve"> none. </w:t>
      </w:r>
    </w:p>
    <w:p w14:paraId="04E61627" w14:textId="3FC3E72F" w:rsidR="00F35778" w:rsidRPr="007B4A12" w:rsidRDefault="00F35778" w:rsidP="00F35778">
      <w:pPr>
        <w:pStyle w:val="BodyTextIndent"/>
        <w:numPr>
          <w:ilvl w:val="0"/>
          <w:numId w:val="4"/>
        </w:numPr>
      </w:pPr>
      <w:r w:rsidRPr="007B4A12">
        <w:lastRenderedPageBreak/>
        <w:t xml:space="preserve">The relative gain to the </w:t>
      </w:r>
      <w:r w:rsidR="00033CD8" w:rsidRPr="007B4A12">
        <w:t>public</w:t>
      </w:r>
      <w:r w:rsidRPr="007B4A12">
        <w:t>, as compared to the hardship imposed upon the individual property owner</w:t>
      </w:r>
      <w:r w:rsidR="00D20438" w:rsidRPr="007B4A12">
        <w:t>.</w:t>
      </w:r>
      <w:bookmarkStart w:id="0" w:name="_GoBack"/>
      <w:bookmarkEnd w:id="0"/>
    </w:p>
    <w:p w14:paraId="07C2A10D" w14:textId="1BE2BF21" w:rsidR="00921FFA" w:rsidRDefault="00A874A3" w:rsidP="002811D9">
      <w:pPr>
        <w:pStyle w:val="BodyTextIndent"/>
        <w:numPr>
          <w:ilvl w:val="0"/>
          <w:numId w:val="20"/>
        </w:numPr>
        <w:rPr>
          <w:i/>
        </w:rPr>
      </w:pPr>
      <w:r>
        <w:rPr>
          <w:i/>
        </w:rPr>
        <w:t xml:space="preserve">The relative gain is to have commercial property adjacent to a residential property, the uses that are permitted in this overlay and less intrusive to a residential property versus an industrial zoned property. </w:t>
      </w:r>
      <w:r w:rsidR="00921FFA" w:rsidRPr="00921FFA">
        <w:rPr>
          <w:i/>
        </w:rPr>
        <w:t xml:space="preserve"> </w:t>
      </w:r>
    </w:p>
    <w:p w14:paraId="547758F2" w14:textId="155F656C" w:rsidR="007E40A6" w:rsidRPr="007B4A12" w:rsidRDefault="006A48F8" w:rsidP="00921FFA">
      <w:pPr>
        <w:pStyle w:val="BodyTextIndent"/>
        <w:ind w:left="1530" w:firstLine="0"/>
      </w:pPr>
      <w:r w:rsidRPr="00921FFA">
        <w:rPr>
          <w:i/>
        </w:rPr>
        <w:t xml:space="preserve">.  </w:t>
      </w:r>
      <w:r w:rsidR="007E40A6" w:rsidRPr="00921FFA">
        <w:rPr>
          <w:i/>
        </w:rPr>
        <w:tab/>
      </w:r>
    </w:p>
    <w:p w14:paraId="019C226C" w14:textId="77777777" w:rsidR="00F35778" w:rsidRPr="007B4A12" w:rsidRDefault="00F35778" w:rsidP="00F35778">
      <w:pPr>
        <w:pStyle w:val="BodyTextIndent"/>
        <w:numPr>
          <w:ilvl w:val="0"/>
          <w:numId w:val="4"/>
        </w:numPr>
      </w:pPr>
      <w:r w:rsidRPr="007B4A12">
        <w:t>Whether the subject property has a reasonable economic use as currently zoned.</w:t>
      </w:r>
    </w:p>
    <w:p w14:paraId="21EC05EF" w14:textId="0A2B4237" w:rsidR="00F35778" w:rsidRPr="00A874A3" w:rsidRDefault="00757035" w:rsidP="00DC40D9">
      <w:pPr>
        <w:pStyle w:val="BodyTextIndent"/>
        <w:numPr>
          <w:ilvl w:val="0"/>
          <w:numId w:val="9"/>
        </w:numPr>
        <w:ind w:left="0" w:firstLine="1530"/>
      </w:pPr>
      <w:r w:rsidRPr="00DC40D9">
        <w:rPr>
          <w:i/>
        </w:rPr>
        <w:t>Th</w:t>
      </w:r>
      <w:r w:rsidR="00FB5C3E" w:rsidRPr="00DC40D9">
        <w:rPr>
          <w:i/>
        </w:rPr>
        <w:t xml:space="preserve">e subject </w:t>
      </w:r>
      <w:r w:rsidR="00DC40D9">
        <w:rPr>
          <w:i/>
        </w:rPr>
        <w:t xml:space="preserve">property has a reasonable economic use as currently zoned. </w:t>
      </w:r>
    </w:p>
    <w:p w14:paraId="3897F8B8" w14:textId="77777777" w:rsidR="00A874A3" w:rsidRPr="007B4A12" w:rsidRDefault="00A874A3" w:rsidP="00A874A3">
      <w:pPr>
        <w:pStyle w:val="BodyTextIndent"/>
        <w:ind w:left="1530" w:firstLine="0"/>
      </w:pPr>
    </w:p>
    <w:p w14:paraId="698E10E6" w14:textId="77777777" w:rsidR="00A874A3" w:rsidRDefault="00F35778" w:rsidP="007E40A6">
      <w:pPr>
        <w:pStyle w:val="BodyTextIndent"/>
        <w:numPr>
          <w:ilvl w:val="0"/>
          <w:numId w:val="4"/>
        </w:numPr>
      </w:pPr>
      <w:r w:rsidRPr="007B4A12">
        <w:t xml:space="preserve">Whether the proposed zoning will be a use that is suitable in view of the use </w:t>
      </w:r>
    </w:p>
    <w:p w14:paraId="76AC6E19" w14:textId="11FE72FD" w:rsidR="007E40A6" w:rsidRPr="007B4A12" w:rsidRDefault="00F35778" w:rsidP="007E40A6">
      <w:pPr>
        <w:pStyle w:val="BodyTextIndent"/>
        <w:numPr>
          <w:ilvl w:val="0"/>
          <w:numId w:val="4"/>
        </w:numPr>
      </w:pPr>
      <w:r w:rsidRPr="007B4A12">
        <w:t>and development of adjacent and nearby property.</w:t>
      </w:r>
    </w:p>
    <w:p w14:paraId="5008B1D6" w14:textId="392D8249" w:rsidR="007E40A6" w:rsidRPr="007B4A12" w:rsidRDefault="00A14FDC" w:rsidP="00B15CA4">
      <w:pPr>
        <w:pStyle w:val="BodyTextIndent"/>
        <w:numPr>
          <w:ilvl w:val="0"/>
          <w:numId w:val="10"/>
        </w:numPr>
        <w:rPr>
          <w:i/>
        </w:rPr>
      </w:pPr>
      <w:r w:rsidRPr="007B4A12">
        <w:rPr>
          <w:i/>
        </w:rPr>
        <w:t xml:space="preserve">  </w:t>
      </w:r>
      <w:r w:rsidR="00BE330C" w:rsidRPr="007B4A12">
        <w:rPr>
          <w:i/>
        </w:rPr>
        <w:t xml:space="preserve">The proposed zoning is reasonable. </w:t>
      </w:r>
    </w:p>
    <w:p w14:paraId="789B4936" w14:textId="77777777" w:rsidR="00F35778" w:rsidRPr="007B4A12" w:rsidRDefault="00F35778" w:rsidP="00F35778">
      <w:pPr>
        <w:pStyle w:val="BodyTextIndent"/>
        <w:ind w:left="0" w:firstLine="0"/>
      </w:pPr>
    </w:p>
    <w:p w14:paraId="7854A116" w14:textId="77777777" w:rsidR="00F35778" w:rsidRPr="007B4A12" w:rsidRDefault="00F35778" w:rsidP="00F35778">
      <w:pPr>
        <w:pStyle w:val="BodyTextIndent"/>
        <w:numPr>
          <w:ilvl w:val="0"/>
          <w:numId w:val="4"/>
        </w:numPr>
      </w:pPr>
      <w:r w:rsidRPr="007B4A12">
        <w:t>Whether the zoning proposal will adversely affect the existing use or usability of adjacent or nearby property.</w:t>
      </w:r>
    </w:p>
    <w:p w14:paraId="61B4CE96" w14:textId="37C9F9BE" w:rsidR="00B15CA4" w:rsidRPr="007B4A12" w:rsidRDefault="00BE330C" w:rsidP="00B15CA4">
      <w:pPr>
        <w:pStyle w:val="BodyTextIndent"/>
        <w:numPr>
          <w:ilvl w:val="0"/>
          <w:numId w:val="11"/>
        </w:numPr>
        <w:rPr>
          <w:i/>
        </w:rPr>
      </w:pPr>
      <w:r w:rsidRPr="007B4A12">
        <w:rPr>
          <w:i/>
        </w:rPr>
        <w:t xml:space="preserve">If rezoned to </w:t>
      </w:r>
      <w:r w:rsidR="002811D9">
        <w:rPr>
          <w:i/>
        </w:rPr>
        <w:t>GC and</w:t>
      </w:r>
      <w:r w:rsidRPr="007B4A12">
        <w:rPr>
          <w:i/>
        </w:rPr>
        <w:t xml:space="preserve"> developed as proposed, I </w:t>
      </w:r>
      <w:r w:rsidR="00033CD8" w:rsidRPr="007B4A12">
        <w:rPr>
          <w:i/>
        </w:rPr>
        <w:t>do not</w:t>
      </w:r>
      <w:r w:rsidRPr="007B4A12">
        <w:rPr>
          <w:i/>
        </w:rPr>
        <w:t xml:space="preserve"> see any adverse effects to adjacent properties. </w:t>
      </w:r>
    </w:p>
    <w:p w14:paraId="70664B99" w14:textId="77777777" w:rsidR="00F35778" w:rsidRPr="007B4A12" w:rsidRDefault="00F35778" w:rsidP="00F35778">
      <w:pPr>
        <w:pStyle w:val="BodyTextIndent"/>
        <w:ind w:left="0" w:firstLine="0"/>
      </w:pPr>
    </w:p>
    <w:p w14:paraId="1F6F1722" w14:textId="77777777" w:rsidR="00F35778" w:rsidRPr="007B4A12" w:rsidRDefault="00F35778" w:rsidP="00F35778">
      <w:pPr>
        <w:pStyle w:val="BodyTextIndent"/>
        <w:numPr>
          <w:ilvl w:val="0"/>
          <w:numId w:val="4"/>
        </w:numPr>
      </w:pPr>
      <w:r w:rsidRPr="007B4A12">
        <w:t>Whether the zoning proposal is in conformity with the policies and intent of the land use element of the Comprehensive Plan.</w:t>
      </w:r>
    </w:p>
    <w:p w14:paraId="03D73238" w14:textId="673408EA" w:rsidR="007E40A6" w:rsidRPr="007B4A12" w:rsidRDefault="002811D9" w:rsidP="00E06A4D">
      <w:pPr>
        <w:pStyle w:val="BodyTextIndent"/>
        <w:numPr>
          <w:ilvl w:val="0"/>
          <w:numId w:val="12"/>
        </w:numPr>
        <w:rPr>
          <w:i/>
        </w:rPr>
      </w:pPr>
      <w:r>
        <w:rPr>
          <w:i/>
        </w:rPr>
        <w:t>The future character map shows this property are General Commercial.</w:t>
      </w:r>
    </w:p>
    <w:p w14:paraId="71AE5107" w14:textId="77777777" w:rsidR="00F35778" w:rsidRPr="007B4A12" w:rsidRDefault="00F35778" w:rsidP="00F35778">
      <w:pPr>
        <w:pStyle w:val="BodyTextIndent"/>
        <w:ind w:left="0" w:firstLine="0"/>
      </w:pPr>
    </w:p>
    <w:p w14:paraId="47676CB5" w14:textId="63760305" w:rsidR="00F35778" w:rsidRPr="007B4A12" w:rsidRDefault="00F35778" w:rsidP="00F35778">
      <w:pPr>
        <w:pStyle w:val="BodyTextIndent"/>
        <w:numPr>
          <w:ilvl w:val="0"/>
          <w:numId w:val="4"/>
        </w:numPr>
      </w:pPr>
      <w:r w:rsidRPr="007B4A12">
        <w:t xml:space="preserve">Whether the zoning proposal will result in a </w:t>
      </w:r>
      <w:r w:rsidR="00033CD8" w:rsidRPr="007B4A12">
        <w:t>use, which</w:t>
      </w:r>
      <w:r w:rsidRPr="007B4A12">
        <w:t xml:space="preserve"> will or could cause an excessive or burdensome use of existing street, transportation facilities, utilities, or schools.</w:t>
      </w:r>
    </w:p>
    <w:p w14:paraId="65C23CA2" w14:textId="77777777" w:rsidR="007E40A6" w:rsidRPr="007B4A12" w:rsidRDefault="00895E2B" w:rsidP="00556513">
      <w:pPr>
        <w:pStyle w:val="BodyTextIndent"/>
        <w:numPr>
          <w:ilvl w:val="0"/>
          <w:numId w:val="13"/>
        </w:numPr>
        <w:rPr>
          <w:i/>
        </w:rPr>
      </w:pPr>
      <w:r w:rsidRPr="007B4A12">
        <w:rPr>
          <w:i/>
        </w:rPr>
        <w:t xml:space="preserve">No excessive use or burden is recognized in this application. </w:t>
      </w:r>
    </w:p>
    <w:p w14:paraId="679D0DBB" w14:textId="77777777" w:rsidR="00F35778" w:rsidRPr="007B4A12" w:rsidRDefault="00F35778" w:rsidP="00F35778">
      <w:pPr>
        <w:pStyle w:val="BodyTextIndent"/>
        <w:ind w:left="0" w:firstLine="0"/>
      </w:pPr>
    </w:p>
    <w:p w14:paraId="0F24BAF1" w14:textId="60F1AB99" w:rsidR="00F35778" w:rsidRPr="007B4A12" w:rsidRDefault="00F35778" w:rsidP="00F35778">
      <w:pPr>
        <w:pStyle w:val="BodyTextIndent"/>
        <w:numPr>
          <w:ilvl w:val="0"/>
          <w:numId w:val="4"/>
        </w:numPr>
      </w:pPr>
      <w:r w:rsidRPr="007B4A12">
        <w:t xml:space="preserve">Whether there are other existing or changing conditions affecting the use and development of the </w:t>
      </w:r>
      <w:r w:rsidR="00033CD8" w:rsidRPr="007B4A12">
        <w:t>property, which</w:t>
      </w:r>
      <w:r w:rsidRPr="007B4A12">
        <w:t xml:space="preserve"> give supporting grounds for either approval or disapproval of the zoning proposal.</w:t>
      </w:r>
    </w:p>
    <w:p w14:paraId="0F247AA2" w14:textId="680E6797" w:rsidR="003414AC" w:rsidRPr="007B4A12" w:rsidRDefault="00C2549D" w:rsidP="00C2549D">
      <w:pPr>
        <w:pStyle w:val="BodyTextIndent"/>
        <w:ind w:left="720" w:firstLine="0"/>
        <w:rPr>
          <w:i/>
        </w:rPr>
      </w:pPr>
      <w:r w:rsidRPr="007B4A12">
        <w:tab/>
      </w:r>
      <w:r w:rsidR="003414AC" w:rsidRPr="007B4A12">
        <w:rPr>
          <w:i/>
        </w:rPr>
        <w:t xml:space="preserve">A. </w:t>
      </w:r>
      <w:r w:rsidRPr="007B4A12">
        <w:rPr>
          <w:i/>
        </w:rPr>
        <w:t xml:space="preserve">There </w:t>
      </w:r>
      <w:r w:rsidR="00033CD8" w:rsidRPr="007B4A12">
        <w:rPr>
          <w:i/>
        </w:rPr>
        <w:t>is</w:t>
      </w:r>
      <w:r w:rsidRPr="007B4A12">
        <w:rPr>
          <w:i/>
        </w:rPr>
        <w:t xml:space="preserve"> none.</w:t>
      </w:r>
    </w:p>
    <w:p w14:paraId="05814C7B" w14:textId="77777777" w:rsidR="00F35778" w:rsidRPr="007B4A12" w:rsidRDefault="00F35778" w:rsidP="00F35778">
      <w:pPr>
        <w:pStyle w:val="BodyTextIndent"/>
        <w:ind w:left="0" w:firstLine="0"/>
      </w:pPr>
    </w:p>
    <w:p w14:paraId="4C5FC3EE" w14:textId="77777777" w:rsidR="00F35778" w:rsidRPr="007B4A12" w:rsidRDefault="00F35778" w:rsidP="00F35778">
      <w:pPr>
        <w:pStyle w:val="BodyTextIndent"/>
        <w:numPr>
          <w:ilvl w:val="0"/>
          <w:numId w:val="4"/>
        </w:numPr>
      </w:pPr>
      <w:r w:rsidRPr="007B4A12">
        <w:t xml:space="preserve">Whether the subject property contains jurisdictional wetlands of the </w:t>
      </w:r>
      <w:smartTag w:uri="urn:schemas-microsoft-com:office:smarttags" w:element="place">
        <w:smartTag w:uri="urn:schemas-microsoft-com:office:smarttags" w:element="country-region">
          <w:r w:rsidRPr="007B4A12">
            <w:t>United States</w:t>
          </w:r>
        </w:smartTag>
      </w:smartTag>
      <w:r w:rsidRPr="007B4A12">
        <w:t xml:space="preserve">.  If so, the applicant will be required to </w:t>
      </w:r>
      <w:r w:rsidR="00C2549D" w:rsidRPr="007B4A12">
        <w:t>document permit</w:t>
      </w:r>
      <w:r w:rsidRPr="007B4A12">
        <w:t xml:space="preserve"> approval for the proposed development from the U.S. Army Corps of Engineers before any formal action can be taken on the zoning proposal.</w:t>
      </w:r>
    </w:p>
    <w:p w14:paraId="10EC529D" w14:textId="6B695959" w:rsidR="00C2549D" w:rsidRPr="007B4A12" w:rsidRDefault="00BF53FD" w:rsidP="00BF53FD">
      <w:pPr>
        <w:pStyle w:val="BodyTextIndent"/>
        <w:numPr>
          <w:ilvl w:val="0"/>
          <w:numId w:val="15"/>
        </w:numPr>
        <w:rPr>
          <w:i/>
        </w:rPr>
      </w:pPr>
      <w:r w:rsidRPr="007B4A12">
        <w:rPr>
          <w:i/>
        </w:rPr>
        <w:t xml:space="preserve">There </w:t>
      </w:r>
      <w:r w:rsidR="00033CD8" w:rsidRPr="007B4A12">
        <w:rPr>
          <w:i/>
        </w:rPr>
        <w:t>is</w:t>
      </w:r>
      <w:r w:rsidR="00895E2B" w:rsidRPr="007B4A12">
        <w:rPr>
          <w:i/>
        </w:rPr>
        <w:t xml:space="preserve"> none. </w:t>
      </w:r>
    </w:p>
    <w:p w14:paraId="5529F9A5" w14:textId="77777777" w:rsidR="00F35778" w:rsidRPr="007B4A12" w:rsidRDefault="00F35778" w:rsidP="00F35778">
      <w:pPr>
        <w:pStyle w:val="BodyTextIndent"/>
        <w:ind w:left="0" w:firstLine="0"/>
      </w:pPr>
    </w:p>
    <w:p w14:paraId="465B1A04" w14:textId="77777777" w:rsidR="00F35778" w:rsidRPr="007B4A12" w:rsidRDefault="00F35778" w:rsidP="00F35778">
      <w:pPr>
        <w:pStyle w:val="BodyTextIndent"/>
        <w:numPr>
          <w:ilvl w:val="0"/>
          <w:numId w:val="4"/>
        </w:numPr>
      </w:pPr>
      <w:r w:rsidRPr="007B4A12">
        <w:t xml:space="preserve">Whether the subject property may be large enough to qualify as a Development of Regional Impact.  If so, then an application for Review must be filed with the </w:t>
      </w:r>
      <w:smartTag w:uri="urn:schemas-microsoft-com:office:smarttags" w:element="place">
        <w:smartTag w:uri="urn:schemas-microsoft-com:office:smarttags" w:element="PlaceName">
          <w:r w:rsidRPr="007B4A12">
            <w:t>Regional</w:t>
          </w:r>
        </w:smartTag>
        <w:r w:rsidRPr="007B4A12">
          <w:t xml:space="preserve"> </w:t>
        </w:r>
        <w:smartTag w:uri="urn:schemas-microsoft-com:office:smarttags" w:element="PlaceName">
          <w:r w:rsidRPr="007B4A12">
            <w:t>Development</w:t>
          </w:r>
        </w:smartTag>
        <w:r w:rsidRPr="007B4A12">
          <w:t xml:space="preserve"> </w:t>
        </w:r>
        <w:smartTag w:uri="urn:schemas-microsoft-com:office:smarttags" w:element="PlaceType">
          <w:r w:rsidRPr="007B4A12">
            <w:t>Center</w:t>
          </w:r>
        </w:smartTag>
      </w:smartTag>
      <w:r w:rsidRPr="007B4A12">
        <w:t>.</w:t>
      </w:r>
    </w:p>
    <w:p w14:paraId="3001D496" w14:textId="77777777" w:rsidR="006C1116" w:rsidRPr="007B4A12" w:rsidRDefault="003414AC" w:rsidP="006C1116">
      <w:pPr>
        <w:pStyle w:val="BodyTextIndent"/>
        <w:numPr>
          <w:ilvl w:val="0"/>
          <w:numId w:val="14"/>
        </w:numPr>
        <w:rPr>
          <w:i/>
        </w:rPr>
      </w:pPr>
      <w:r w:rsidRPr="007B4A12">
        <w:rPr>
          <w:i/>
        </w:rPr>
        <w:t>T</w:t>
      </w:r>
      <w:r w:rsidR="00C2549D" w:rsidRPr="007B4A12">
        <w:rPr>
          <w:i/>
        </w:rPr>
        <w:t>he development is not big enough to qualify.</w:t>
      </w:r>
    </w:p>
    <w:p w14:paraId="51453CC2" w14:textId="77777777" w:rsidR="00CC44A4" w:rsidRPr="007B4A12" w:rsidRDefault="00CC44A4">
      <w:pPr>
        <w:rPr>
          <w:sz w:val="24"/>
        </w:rPr>
      </w:pPr>
    </w:p>
    <w:p w14:paraId="6838B624" w14:textId="77777777" w:rsidR="00D34FE6" w:rsidRPr="007B4A12" w:rsidRDefault="00D34FE6">
      <w:pPr>
        <w:rPr>
          <w:sz w:val="24"/>
        </w:rPr>
      </w:pPr>
    </w:p>
    <w:p w14:paraId="25E612A5" w14:textId="77777777" w:rsidR="00562F29" w:rsidRDefault="00562F29">
      <w:pPr>
        <w:rPr>
          <w:b/>
          <w:sz w:val="24"/>
        </w:rPr>
      </w:pPr>
    </w:p>
    <w:p w14:paraId="0666074E" w14:textId="77777777" w:rsidR="00FB5C3E" w:rsidRDefault="00FB5C3E">
      <w:pPr>
        <w:rPr>
          <w:b/>
          <w:sz w:val="24"/>
        </w:rPr>
      </w:pPr>
    </w:p>
    <w:sectPr w:rsidR="00FB5C3E" w:rsidSect="008E06E4">
      <w:pgSz w:w="12240" w:h="15840"/>
      <w:pgMar w:top="990" w:right="1440" w:bottom="99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2875"/>
    <w:multiLevelType w:val="hybridMultilevel"/>
    <w:tmpl w:val="1674A15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B1531"/>
    <w:multiLevelType w:val="hybridMultilevel"/>
    <w:tmpl w:val="8618EFB6"/>
    <w:lvl w:ilvl="0" w:tplc="4B3EF0D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6B71B64"/>
    <w:multiLevelType w:val="singleLevel"/>
    <w:tmpl w:val="008A2986"/>
    <w:lvl w:ilvl="0">
      <w:start w:val="1"/>
      <w:numFmt w:val="decimal"/>
      <w:lvlText w:val="%1."/>
      <w:lvlJc w:val="left"/>
      <w:pPr>
        <w:tabs>
          <w:tab w:val="num" w:pos="1440"/>
        </w:tabs>
        <w:ind w:left="1440" w:hanging="720"/>
      </w:pPr>
      <w:rPr>
        <w:rFonts w:hint="default"/>
      </w:rPr>
    </w:lvl>
  </w:abstractNum>
  <w:abstractNum w:abstractNumId="3" w15:restartNumberingAfterBreak="0">
    <w:nsid w:val="1B12494E"/>
    <w:multiLevelType w:val="hybridMultilevel"/>
    <w:tmpl w:val="DE8EA91A"/>
    <w:lvl w:ilvl="0" w:tplc="B17085F0">
      <w:start w:val="1"/>
      <w:numFmt w:val="upp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 w15:restartNumberingAfterBreak="0">
    <w:nsid w:val="259B6332"/>
    <w:multiLevelType w:val="hybridMultilevel"/>
    <w:tmpl w:val="ABDA47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41120A"/>
    <w:multiLevelType w:val="multilevel"/>
    <w:tmpl w:val="8A9E461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7D072E4"/>
    <w:multiLevelType w:val="hybridMultilevel"/>
    <w:tmpl w:val="194E1CBC"/>
    <w:lvl w:ilvl="0" w:tplc="B5D05A48">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3B2B18CD"/>
    <w:multiLevelType w:val="hybridMultilevel"/>
    <w:tmpl w:val="3EEC4700"/>
    <w:lvl w:ilvl="0" w:tplc="9BC8E100">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3C030C27"/>
    <w:multiLevelType w:val="hybridMultilevel"/>
    <w:tmpl w:val="F176CE56"/>
    <w:lvl w:ilvl="0" w:tplc="D83CFE78">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0AC408D"/>
    <w:multiLevelType w:val="hybridMultilevel"/>
    <w:tmpl w:val="05980B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A700BB"/>
    <w:multiLevelType w:val="hybridMultilevel"/>
    <w:tmpl w:val="C2EEB2E2"/>
    <w:lvl w:ilvl="0" w:tplc="32BEF4E6">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EFD045D"/>
    <w:multiLevelType w:val="hybridMultilevel"/>
    <w:tmpl w:val="33B64104"/>
    <w:lvl w:ilvl="0" w:tplc="F872D8A0">
      <w:start w:val="1"/>
      <w:numFmt w:val="upperLetter"/>
      <w:lvlText w:val="%1&gt;"/>
      <w:lvlJc w:val="left"/>
      <w:pPr>
        <w:ind w:left="1800" w:hanging="360"/>
      </w:pPr>
      <w:rPr>
        <w:rFonts w:hint="default"/>
        <w:b w:val="0"/>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AF11A60"/>
    <w:multiLevelType w:val="hybridMultilevel"/>
    <w:tmpl w:val="4FE2FC8C"/>
    <w:lvl w:ilvl="0" w:tplc="E56870B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5E390C13"/>
    <w:multiLevelType w:val="hybridMultilevel"/>
    <w:tmpl w:val="C43CBF1A"/>
    <w:lvl w:ilvl="0" w:tplc="F49810D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64CA5EB9"/>
    <w:multiLevelType w:val="hybridMultilevel"/>
    <w:tmpl w:val="4D201C6E"/>
    <w:lvl w:ilvl="0" w:tplc="5F8A8C2E">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15:restartNumberingAfterBreak="0">
    <w:nsid w:val="660802E6"/>
    <w:multiLevelType w:val="hybridMultilevel"/>
    <w:tmpl w:val="60DEA2B2"/>
    <w:lvl w:ilvl="0" w:tplc="75ACC746">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67626CEB"/>
    <w:multiLevelType w:val="hybridMultilevel"/>
    <w:tmpl w:val="49687DCA"/>
    <w:lvl w:ilvl="0" w:tplc="4CF81FDA">
      <w:start w:val="1"/>
      <w:numFmt w:val="upperLetter"/>
      <w:lvlText w:val="%1."/>
      <w:lvlJc w:val="left"/>
      <w:pPr>
        <w:ind w:left="2160" w:hanging="360"/>
      </w:pPr>
      <w:rPr>
        <w:rFonts w:hint="default"/>
        <w:b w:val="0"/>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85967E9"/>
    <w:multiLevelType w:val="hybridMultilevel"/>
    <w:tmpl w:val="7AFA565E"/>
    <w:lvl w:ilvl="0" w:tplc="C5B8E0A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71CB5717"/>
    <w:multiLevelType w:val="hybridMultilevel"/>
    <w:tmpl w:val="9D985346"/>
    <w:lvl w:ilvl="0" w:tplc="3DB0F5AE">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56F06F9"/>
    <w:multiLevelType w:val="singleLevel"/>
    <w:tmpl w:val="0409000F"/>
    <w:lvl w:ilvl="0">
      <w:start w:val="1"/>
      <w:numFmt w:val="decimal"/>
      <w:lvlText w:val="%1."/>
      <w:lvlJc w:val="left"/>
      <w:pPr>
        <w:tabs>
          <w:tab w:val="num" w:pos="360"/>
        </w:tabs>
        <w:ind w:left="360" w:hanging="360"/>
      </w:pPr>
      <w:rPr>
        <w:rFonts w:hint="default"/>
      </w:rPr>
    </w:lvl>
  </w:abstractNum>
  <w:num w:numId="1">
    <w:abstractNumId w:val="19"/>
  </w:num>
  <w:num w:numId="2">
    <w:abstractNumId w:val="9"/>
  </w:num>
  <w:num w:numId="3">
    <w:abstractNumId w:val="5"/>
  </w:num>
  <w:num w:numId="4">
    <w:abstractNumId w:val="2"/>
  </w:num>
  <w:num w:numId="5">
    <w:abstractNumId w:val="1"/>
  </w:num>
  <w:num w:numId="6">
    <w:abstractNumId w:val="17"/>
  </w:num>
  <w:num w:numId="7">
    <w:abstractNumId w:val="12"/>
  </w:num>
  <w:num w:numId="8">
    <w:abstractNumId w:val="3"/>
  </w:num>
  <w:num w:numId="9">
    <w:abstractNumId w:val="8"/>
  </w:num>
  <w:num w:numId="10">
    <w:abstractNumId w:val="6"/>
  </w:num>
  <w:num w:numId="11">
    <w:abstractNumId w:val="18"/>
  </w:num>
  <w:num w:numId="12">
    <w:abstractNumId w:val="13"/>
  </w:num>
  <w:num w:numId="13">
    <w:abstractNumId w:val="10"/>
  </w:num>
  <w:num w:numId="14">
    <w:abstractNumId w:val="7"/>
  </w:num>
  <w:num w:numId="15">
    <w:abstractNumId w:val="15"/>
  </w:num>
  <w:num w:numId="16">
    <w:abstractNumId w:val="4"/>
  </w:num>
  <w:num w:numId="17">
    <w:abstractNumId w:val="0"/>
  </w:num>
  <w:num w:numId="18">
    <w:abstractNumId w:val="11"/>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370"/>
    <w:rsid w:val="0001684D"/>
    <w:rsid w:val="00033CD8"/>
    <w:rsid w:val="00096D59"/>
    <w:rsid w:val="000A31BB"/>
    <w:rsid w:val="000C24EF"/>
    <w:rsid w:val="00142485"/>
    <w:rsid w:val="00156CCD"/>
    <w:rsid w:val="00167FD0"/>
    <w:rsid w:val="0017203C"/>
    <w:rsid w:val="00173FB3"/>
    <w:rsid w:val="00177789"/>
    <w:rsid w:val="001803DA"/>
    <w:rsid w:val="00195E85"/>
    <w:rsid w:val="001C5BF6"/>
    <w:rsid w:val="001E203D"/>
    <w:rsid w:val="001F4C3B"/>
    <w:rsid w:val="00227F73"/>
    <w:rsid w:val="00230FDF"/>
    <w:rsid w:val="002453BF"/>
    <w:rsid w:val="002805CC"/>
    <w:rsid w:val="002811D9"/>
    <w:rsid w:val="00285079"/>
    <w:rsid w:val="002D4A54"/>
    <w:rsid w:val="002E2EBD"/>
    <w:rsid w:val="002E4F6E"/>
    <w:rsid w:val="003135EA"/>
    <w:rsid w:val="003231B9"/>
    <w:rsid w:val="00324160"/>
    <w:rsid w:val="00327E3E"/>
    <w:rsid w:val="00335AF0"/>
    <w:rsid w:val="00335FBA"/>
    <w:rsid w:val="003414AC"/>
    <w:rsid w:val="00341AF3"/>
    <w:rsid w:val="00346036"/>
    <w:rsid w:val="00351097"/>
    <w:rsid w:val="00371495"/>
    <w:rsid w:val="0040775A"/>
    <w:rsid w:val="00411E4C"/>
    <w:rsid w:val="00414D03"/>
    <w:rsid w:val="00420681"/>
    <w:rsid w:val="0043306D"/>
    <w:rsid w:val="004526B1"/>
    <w:rsid w:val="00467B1A"/>
    <w:rsid w:val="004A20C3"/>
    <w:rsid w:val="004B6155"/>
    <w:rsid w:val="004F40A3"/>
    <w:rsid w:val="0051304A"/>
    <w:rsid w:val="0051581C"/>
    <w:rsid w:val="005162AA"/>
    <w:rsid w:val="0052743A"/>
    <w:rsid w:val="0054368E"/>
    <w:rsid w:val="005465CE"/>
    <w:rsid w:val="0055149E"/>
    <w:rsid w:val="00556513"/>
    <w:rsid w:val="00562F29"/>
    <w:rsid w:val="00564EE8"/>
    <w:rsid w:val="005A6D99"/>
    <w:rsid w:val="0060287D"/>
    <w:rsid w:val="006046FC"/>
    <w:rsid w:val="0066018D"/>
    <w:rsid w:val="006922D4"/>
    <w:rsid w:val="006A48F8"/>
    <w:rsid w:val="006B4E93"/>
    <w:rsid w:val="006B6FA8"/>
    <w:rsid w:val="006C1116"/>
    <w:rsid w:val="006C1370"/>
    <w:rsid w:val="006C274C"/>
    <w:rsid w:val="006D48E9"/>
    <w:rsid w:val="006F0CC7"/>
    <w:rsid w:val="006F4F23"/>
    <w:rsid w:val="00757035"/>
    <w:rsid w:val="007637C5"/>
    <w:rsid w:val="00795712"/>
    <w:rsid w:val="00795F4C"/>
    <w:rsid w:val="007B3266"/>
    <w:rsid w:val="007B4A12"/>
    <w:rsid w:val="007D30C8"/>
    <w:rsid w:val="007E1F94"/>
    <w:rsid w:val="007E40A6"/>
    <w:rsid w:val="00814996"/>
    <w:rsid w:val="00823ED0"/>
    <w:rsid w:val="008268B9"/>
    <w:rsid w:val="008315BE"/>
    <w:rsid w:val="008557F7"/>
    <w:rsid w:val="008856B9"/>
    <w:rsid w:val="00892184"/>
    <w:rsid w:val="0089436C"/>
    <w:rsid w:val="00895E2B"/>
    <w:rsid w:val="008A502C"/>
    <w:rsid w:val="008B66D0"/>
    <w:rsid w:val="008C4E51"/>
    <w:rsid w:val="008D6034"/>
    <w:rsid w:val="008E06E4"/>
    <w:rsid w:val="00904BFB"/>
    <w:rsid w:val="00921FFA"/>
    <w:rsid w:val="00970116"/>
    <w:rsid w:val="009C28AE"/>
    <w:rsid w:val="00A00656"/>
    <w:rsid w:val="00A07FBC"/>
    <w:rsid w:val="00A1243F"/>
    <w:rsid w:val="00A14FDC"/>
    <w:rsid w:val="00A204D1"/>
    <w:rsid w:val="00A50518"/>
    <w:rsid w:val="00A65190"/>
    <w:rsid w:val="00A84569"/>
    <w:rsid w:val="00A874A3"/>
    <w:rsid w:val="00A90EA9"/>
    <w:rsid w:val="00AA60DB"/>
    <w:rsid w:val="00AD0C85"/>
    <w:rsid w:val="00AD1E39"/>
    <w:rsid w:val="00AF0D38"/>
    <w:rsid w:val="00AF1BAB"/>
    <w:rsid w:val="00B06914"/>
    <w:rsid w:val="00B112F3"/>
    <w:rsid w:val="00B15CA4"/>
    <w:rsid w:val="00B41DBD"/>
    <w:rsid w:val="00B4635E"/>
    <w:rsid w:val="00B52055"/>
    <w:rsid w:val="00B657AE"/>
    <w:rsid w:val="00BA311C"/>
    <w:rsid w:val="00BE330C"/>
    <w:rsid w:val="00BF53FD"/>
    <w:rsid w:val="00BF5F09"/>
    <w:rsid w:val="00C04122"/>
    <w:rsid w:val="00C05845"/>
    <w:rsid w:val="00C174AE"/>
    <w:rsid w:val="00C2549D"/>
    <w:rsid w:val="00C55724"/>
    <w:rsid w:val="00C736CD"/>
    <w:rsid w:val="00CC44A4"/>
    <w:rsid w:val="00CE790A"/>
    <w:rsid w:val="00D20438"/>
    <w:rsid w:val="00D27325"/>
    <w:rsid w:val="00D34FE6"/>
    <w:rsid w:val="00D35AD5"/>
    <w:rsid w:val="00D46955"/>
    <w:rsid w:val="00D503E9"/>
    <w:rsid w:val="00D72E7D"/>
    <w:rsid w:val="00DA6AC5"/>
    <w:rsid w:val="00DB4EBA"/>
    <w:rsid w:val="00DC40D9"/>
    <w:rsid w:val="00DC7632"/>
    <w:rsid w:val="00DD7570"/>
    <w:rsid w:val="00E06A4D"/>
    <w:rsid w:val="00E20AED"/>
    <w:rsid w:val="00E327DF"/>
    <w:rsid w:val="00E5337E"/>
    <w:rsid w:val="00E63838"/>
    <w:rsid w:val="00E64388"/>
    <w:rsid w:val="00F05FF5"/>
    <w:rsid w:val="00F35778"/>
    <w:rsid w:val="00F5027D"/>
    <w:rsid w:val="00F6591D"/>
    <w:rsid w:val="00F94A6E"/>
    <w:rsid w:val="00FB14A2"/>
    <w:rsid w:val="00FB5C3E"/>
    <w:rsid w:val="00FD31D3"/>
    <w:rsid w:val="00FE4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CB07DE5"/>
  <w15:chartTrackingRefBased/>
  <w15:docId w15:val="{EAF0C0DC-FC7F-43C0-A942-FE8423C5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2" w:uiPriority="5" w:qFormat="1"/>
    <w:lsdException w:name="List 3" w:uiPriority="5" w:qFormat="1"/>
    <w:lsdException w:name="List 4" w:uiPriority="5"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35778"/>
    <w:pPr>
      <w:ind w:left="2160" w:hanging="1020"/>
    </w:pPr>
    <w:rPr>
      <w:sz w:val="24"/>
    </w:rPr>
  </w:style>
  <w:style w:type="paragraph" w:styleId="BalloonText">
    <w:name w:val="Balloon Text"/>
    <w:basedOn w:val="Normal"/>
    <w:semiHidden/>
    <w:rsid w:val="00C2549D"/>
    <w:rPr>
      <w:rFonts w:ascii="Tahoma" w:hAnsi="Tahoma" w:cs="Tahoma"/>
      <w:sz w:val="16"/>
      <w:szCs w:val="16"/>
    </w:rPr>
  </w:style>
  <w:style w:type="paragraph" w:styleId="List2">
    <w:name w:val="List 2"/>
    <w:basedOn w:val="Normal"/>
    <w:uiPriority w:val="5"/>
    <w:qFormat/>
    <w:rsid w:val="00324160"/>
    <w:pPr>
      <w:spacing w:before="40" w:after="120"/>
      <w:ind w:left="950" w:hanging="475"/>
    </w:pPr>
    <w:rPr>
      <w:rFonts w:ascii="Calibri" w:eastAsiaTheme="minorHAnsi" w:hAnsi="Calibri" w:cstheme="minorBidi"/>
      <w:szCs w:val="24"/>
    </w:rPr>
  </w:style>
  <w:style w:type="paragraph" w:styleId="List3">
    <w:name w:val="List 3"/>
    <w:basedOn w:val="List2"/>
    <w:uiPriority w:val="5"/>
    <w:unhideWhenUsed/>
    <w:qFormat/>
    <w:rsid w:val="00324160"/>
    <w:pPr>
      <w:ind w:left="1425"/>
    </w:pPr>
  </w:style>
  <w:style w:type="paragraph" w:styleId="List4">
    <w:name w:val="List 4"/>
    <w:basedOn w:val="List3"/>
    <w:uiPriority w:val="5"/>
    <w:unhideWhenUsed/>
    <w:qFormat/>
    <w:rsid w:val="00324160"/>
    <w:pPr>
      <w:ind w:left="19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18429E5781D047A593292F59F60961" ma:contentTypeVersion="13" ma:contentTypeDescription="Create a new document." ma:contentTypeScope="" ma:versionID="cc6903ebe14ed6445ec8be08d22a3d31">
  <xsd:schema xmlns:xsd="http://www.w3.org/2001/XMLSchema" xmlns:xs="http://www.w3.org/2001/XMLSchema" xmlns:p="http://schemas.microsoft.com/office/2006/metadata/properties" xmlns:ns3="5fa40289-e67e-4164-a41a-33400b4e3311" xmlns:ns4="82c4c007-b448-4679-bc3c-ec5d8fa78ed3" targetNamespace="http://schemas.microsoft.com/office/2006/metadata/properties" ma:root="true" ma:fieldsID="ee116a285d6ccf30bfe9c96cca6039bc" ns3:_="" ns4:_="">
    <xsd:import namespace="5fa40289-e67e-4164-a41a-33400b4e3311"/>
    <xsd:import namespace="82c4c007-b448-4679-bc3c-ec5d8fa78ed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40289-e67e-4164-a41a-33400b4e33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c4c007-b448-4679-bc3c-ec5d8fa78e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A0F262-2DEF-45FB-8A7D-8FE21E575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40289-e67e-4164-a41a-33400b4e3311"/>
    <ds:schemaRef ds:uri="82c4c007-b448-4679-bc3c-ec5d8fa78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327368-6217-4202-AF4B-EF7C745DC894}">
  <ds:schemaRefs>
    <ds:schemaRef ds:uri="http://schemas.microsoft.com/sharepoint/v3/contenttype/forms"/>
  </ds:schemaRefs>
</ds:datastoreItem>
</file>

<file path=customXml/itemProps3.xml><?xml version="1.0" encoding="utf-8"?>
<ds:datastoreItem xmlns:ds="http://schemas.openxmlformats.org/officeDocument/2006/customXml" ds:itemID="{95C3FC33-B3DE-44CC-9A10-0DDE13DF60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Planning Commission Memo</vt:lpstr>
    </vt:vector>
  </TitlesOfParts>
  <Company>Dell Computer Corporation</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Commission Memo</dc:title>
  <dc:subject/>
  <dc:creator>Preferred Customer</dc:creator>
  <cp:keywords/>
  <cp:lastModifiedBy>Dina Rimi</cp:lastModifiedBy>
  <cp:revision>4</cp:revision>
  <cp:lastPrinted>2022-08-12T16:26:00Z</cp:lastPrinted>
  <dcterms:created xsi:type="dcterms:W3CDTF">2022-08-12T15:40:00Z</dcterms:created>
  <dcterms:modified xsi:type="dcterms:W3CDTF">2022-08-12T16:27:00Z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0x0101007718429E5781D047A593292F59F60961</vt:lpwstr>
  </property>
</Properties>
</file>